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62E7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黑体" w:eastAsia="黑体"/>
          <w:b/>
          <w:sz w:val="48"/>
          <w:szCs w:val="48"/>
          <w:highlight w:val="none"/>
        </w:rPr>
      </w:pPr>
      <w:bookmarkStart w:id="0" w:name="_Toc27712"/>
      <w:bookmarkStart w:id="1" w:name="_Hlk104273075"/>
      <w:r>
        <w:rPr>
          <w:rFonts w:hint="eastAsia" w:ascii="黑体" w:eastAsia="黑体"/>
          <w:b/>
          <w:sz w:val="48"/>
          <w:szCs w:val="48"/>
          <w:highlight w:val="none"/>
        </w:rPr>
        <w:t>陕西丰汇韵嘉会计师事务所</w:t>
      </w:r>
      <w:bookmarkEnd w:id="0"/>
    </w:p>
    <w:p w14:paraId="1BD8E42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eastAsia="黑体"/>
          <w:b/>
          <w:sz w:val="48"/>
          <w:szCs w:val="48"/>
          <w:highlight w:val="none"/>
        </w:rPr>
      </w:pPr>
      <w:bookmarkStart w:id="2" w:name="_Toc25952"/>
      <w:r>
        <w:rPr>
          <w:rFonts w:hint="eastAsia" w:ascii="黑体" w:eastAsia="黑体"/>
          <w:b/>
          <w:sz w:val="48"/>
          <w:szCs w:val="48"/>
          <w:highlight w:val="none"/>
        </w:rPr>
        <w:t>合伙企业（普通合伙）</w:t>
      </w:r>
      <w:bookmarkEnd w:id="2"/>
    </w:p>
    <w:bookmarkEnd w:id="1"/>
    <w:p w14:paraId="0539194E">
      <w:pPr>
        <w:keepNext w:val="0"/>
        <w:keepLines w:val="0"/>
        <w:pageBreakBefore w:val="0"/>
        <w:widowControl w:val="0"/>
        <w:pBdr>
          <w:bottom w:val="single" w:color="auto" w:sz="6" w:space="1"/>
        </w:pBdr>
        <w:kinsoku/>
        <w:wordWrap/>
        <w:overflowPunct/>
        <w:topLinePunct w:val="0"/>
        <w:autoSpaceDE/>
        <w:autoSpaceDN/>
        <w:bidi w:val="0"/>
        <w:adjustRightInd/>
        <w:snapToGrid/>
        <w:jc w:val="center"/>
        <w:textAlignment w:val="auto"/>
        <w:outlineLvl w:val="9"/>
        <w:rPr>
          <w:rFonts w:hint="eastAsia" w:ascii="宋体" w:hAnsi="宋体"/>
          <w:b/>
          <w:highlight w:val="none"/>
        </w:rPr>
      </w:pPr>
    </w:p>
    <w:p w14:paraId="55704084">
      <w:pPr>
        <w:keepNext w:val="0"/>
        <w:keepLines w:val="0"/>
        <w:pageBreakBefore w:val="0"/>
        <w:widowControl w:val="0"/>
        <w:pBdr>
          <w:bottom w:val="single" w:color="auto" w:sz="6" w:space="1"/>
        </w:pBdr>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b/>
          <w:sz w:val="32"/>
          <w:szCs w:val="32"/>
          <w:highlight w:val="none"/>
        </w:rPr>
      </w:pPr>
      <w:r>
        <w:rPr>
          <w:rFonts w:hint="eastAsia" w:ascii="仿宋" w:hAnsi="仿宋" w:eastAsia="仿宋" w:cs="仿宋"/>
          <w:b/>
          <w:sz w:val="32"/>
          <w:szCs w:val="32"/>
          <w:highlight w:val="none"/>
        </w:rPr>
        <w:t>陕西丰汇</w:t>
      </w:r>
      <w:r>
        <w:rPr>
          <w:rFonts w:hint="eastAsia" w:ascii="仿宋" w:hAnsi="仿宋" w:eastAsia="仿宋" w:cs="仿宋"/>
          <w:b/>
          <w:sz w:val="32"/>
          <w:szCs w:val="32"/>
          <w:highlight w:val="none"/>
          <w:lang w:val="en-US" w:eastAsia="zh-CN"/>
        </w:rPr>
        <w:t>咨</w:t>
      </w:r>
      <w:r>
        <w:rPr>
          <w:rFonts w:hint="eastAsia" w:ascii="仿宋" w:hAnsi="仿宋" w:eastAsia="仿宋" w:cs="仿宋"/>
          <w:b/>
          <w:sz w:val="32"/>
          <w:szCs w:val="32"/>
          <w:highlight w:val="none"/>
        </w:rPr>
        <w:t>字〔2024〕第</w:t>
      </w:r>
      <w:r>
        <w:rPr>
          <w:rFonts w:hint="eastAsia" w:ascii="仿宋" w:hAnsi="仿宋" w:eastAsia="仿宋" w:cs="仿宋"/>
          <w:b/>
          <w:sz w:val="32"/>
          <w:szCs w:val="32"/>
          <w:highlight w:val="none"/>
          <w:lang w:val="en-US" w:eastAsia="zh-CN"/>
        </w:rPr>
        <w:t>116</w:t>
      </w:r>
      <w:r>
        <w:rPr>
          <w:rFonts w:hint="eastAsia" w:ascii="仿宋" w:hAnsi="仿宋" w:eastAsia="仿宋" w:cs="仿宋"/>
          <w:b/>
          <w:sz w:val="32"/>
          <w:szCs w:val="32"/>
          <w:highlight w:val="none"/>
        </w:rPr>
        <w:t>号</w:t>
      </w:r>
    </w:p>
    <w:p w14:paraId="5C83FBFE">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2C788C3E">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9"/>
        <w:rPr>
          <w:rFonts w:hint="eastAsia" w:ascii="黑体" w:eastAsia="黑体"/>
          <w:b/>
          <w:sz w:val="32"/>
          <w:szCs w:val="32"/>
          <w:highlight w:val="none"/>
        </w:rPr>
      </w:pPr>
    </w:p>
    <w:p w14:paraId="5DC2FB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36"/>
          <w:szCs w:val="36"/>
          <w:highlight w:val="none"/>
          <w:lang w:val="en-US" w:eastAsia="zh-CN" w:bidi="ar"/>
        </w:rPr>
      </w:pPr>
      <w:r>
        <w:rPr>
          <w:rFonts w:hint="eastAsia" w:ascii="仿宋" w:hAnsi="仿宋" w:eastAsia="仿宋" w:cs="仿宋"/>
          <w:b/>
          <w:bCs/>
          <w:sz w:val="36"/>
          <w:szCs w:val="36"/>
          <w:highlight w:val="none"/>
          <w:lang w:val="en-US" w:eastAsia="zh-CN" w:bidi="ar"/>
        </w:rPr>
        <w:t>林芝市技工学校（公共职业技能实训基地）</w:t>
      </w:r>
    </w:p>
    <w:p w14:paraId="7126DF1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sz w:val="36"/>
          <w:szCs w:val="36"/>
          <w:highlight w:val="none"/>
          <w:lang w:bidi="ar"/>
        </w:rPr>
      </w:pPr>
      <w:r>
        <w:rPr>
          <w:rFonts w:hint="eastAsia" w:ascii="仿宋" w:hAnsi="仿宋" w:eastAsia="仿宋" w:cs="仿宋"/>
          <w:b/>
          <w:bCs/>
          <w:sz w:val="36"/>
          <w:szCs w:val="36"/>
          <w:highlight w:val="none"/>
          <w:lang w:bidi="ar"/>
        </w:rPr>
        <w:t>2023年度部门整体支出绩效评价报告</w:t>
      </w:r>
    </w:p>
    <w:p w14:paraId="6E64157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b/>
          <w:bCs/>
          <w:spacing w:val="85"/>
          <w:sz w:val="28"/>
          <w:szCs w:val="28"/>
          <w:highlight w:val="none"/>
        </w:rPr>
      </w:pPr>
      <w:r>
        <w:rPr>
          <w:rFonts w:hint="eastAsia" w:ascii="宋体" w:hAnsi="宋体" w:cs="宋体"/>
          <w:b/>
          <w:bCs/>
          <w:spacing w:val="85"/>
          <w:sz w:val="28"/>
          <w:szCs w:val="28"/>
          <w:highlight w:val="none"/>
          <w:lang w:bidi="ar"/>
        </w:rPr>
        <w:t xml:space="preserve"> </w:t>
      </w:r>
    </w:p>
    <w:p w14:paraId="3ED5B2A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r>
        <w:rPr>
          <w:rFonts w:hint="eastAsia" w:ascii="宋体" w:hAnsi="宋体" w:cs="宋体"/>
          <w:spacing w:val="85"/>
          <w:sz w:val="24"/>
          <w:highlight w:val="none"/>
          <w:lang w:bidi="ar"/>
        </w:rPr>
        <w:t xml:space="preserve"> </w:t>
      </w:r>
    </w:p>
    <w:p w14:paraId="6A4313BD">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spacing w:val="85"/>
          <w:sz w:val="24"/>
          <w:highlight w:val="none"/>
        </w:rPr>
      </w:pPr>
    </w:p>
    <w:p w14:paraId="0EF924D3">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277EAB2F">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10B80EC1">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宋体" w:hAnsi="宋体" w:cs="宋体"/>
          <w:sz w:val="24"/>
          <w:highlight w:val="none"/>
          <w:lang w:val="en-US" w:eastAsia="zh-CN" w:bidi="ar"/>
        </w:rPr>
      </w:pPr>
    </w:p>
    <w:p w14:paraId="26B4A657">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41D5E7EA">
      <w:pPr>
        <w:keepNext w:val="0"/>
        <w:keepLines w:val="0"/>
        <w:pageBreakBefore w:val="0"/>
        <w:widowControl w:val="0"/>
        <w:kinsoku/>
        <w:wordWrap/>
        <w:overflowPunct/>
        <w:topLinePunct w:val="0"/>
        <w:autoSpaceDE/>
        <w:autoSpaceDN/>
        <w:bidi w:val="0"/>
        <w:adjustRightInd/>
        <w:snapToGrid/>
        <w:ind w:firstLine="960" w:firstLineChars="400"/>
        <w:jc w:val="left"/>
        <w:textAlignment w:val="auto"/>
        <w:outlineLvl w:val="9"/>
        <w:rPr>
          <w:rFonts w:hint="eastAsia" w:ascii="宋体" w:hAnsi="宋体" w:cs="宋体"/>
          <w:sz w:val="24"/>
          <w:highlight w:val="none"/>
          <w:lang w:val="en-US" w:eastAsia="zh-CN" w:bidi="ar"/>
        </w:rPr>
      </w:pPr>
      <w:r>
        <w:rPr>
          <w:rFonts w:hint="eastAsia" w:ascii="宋体" w:hAnsi="宋体" w:cs="宋体"/>
          <w:sz w:val="24"/>
          <w:highlight w:val="none"/>
          <w:lang w:val="en-US" w:eastAsia="zh-CN" w:bidi="ar"/>
        </w:rPr>
        <w:t>委托单位</w:t>
      </w:r>
      <w:r>
        <w:rPr>
          <w:rFonts w:hint="eastAsia" w:ascii="宋体" w:hAnsi="宋体" w:cs="宋体"/>
          <w:sz w:val="24"/>
          <w:highlight w:val="none"/>
          <w:lang w:bidi="ar"/>
        </w:rPr>
        <w:t>：林芝市</w:t>
      </w:r>
      <w:r>
        <w:rPr>
          <w:rFonts w:hint="eastAsia" w:ascii="宋体" w:hAnsi="宋体" w:cs="宋体"/>
          <w:sz w:val="24"/>
          <w:highlight w:val="none"/>
          <w:lang w:val="en-US" w:eastAsia="zh-CN" w:bidi="ar"/>
        </w:rPr>
        <w:t>财政局</w:t>
      </w:r>
    </w:p>
    <w:p w14:paraId="4B062B39">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28A46AE3">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val="en-US" w:eastAsia="zh-CN" w:bidi="ar"/>
        </w:rPr>
      </w:pPr>
    </w:p>
    <w:p w14:paraId="4BE69549">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389359D4">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val="en-US" w:eastAsia="zh-CN" w:bidi="ar"/>
        </w:rPr>
        <w:t xml:space="preserve">  </w:t>
      </w:r>
      <w:r>
        <w:rPr>
          <w:rFonts w:hint="eastAsia" w:ascii="宋体" w:hAnsi="宋体" w:cs="宋体"/>
          <w:sz w:val="24"/>
          <w:highlight w:val="none"/>
          <w:lang w:bidi="ar"/>
        </w:rPr>
        <w:t xml:space="preserve"> </w:t>
      </w:r>
    </w:p>
    <w:p w14:paraId="02CE076C">
      <w:pPr>
        <w:keepNext w:val="0"/>
        <w:keepLines w:val="0"/>
        <w:pageBreakBefore w:val="0"/>
        <w:widowControl w:val="0"/>
        <w:kinsoku/>
        <w:wordWrap/>
        <w:overflowPunct/>
        <w:topLinePunct w:val="0"/>
        <w:autoSpaceDE/>
        <w:autoSpaceDN/>
        <w:bidi w:val="0"/>
        <w:adjustRightInd/>
        <w:snapToGrid/>
        <w:ind w:firstLine="960" w:firstLineChars="400"/>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评价机构：陕西丰汇韵嘉会计师事务所合伙企业（普通合伙）</w:t>
      </w:r>
    </w:p>
    <w:p w14:paraId="566E4D7A">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宋体" w:hAnsi="宋体" w:cs="宋体"/>
          <w:sz w:val="24"/>
          <w:highlight w:val="none"/>
          <w:lang w:bidi="ar"/>
        </w:rPr>
      </w:pPr>
      <w:r>
        <w:rPr>
          <w:rFonts w:hint="eastAsia" w:ascii="宋体" w:hAnsi="宋体" w:cs="宋体"/>
          <w:sz w:val="24"/>
          <w:highlight w:val="none"/>
          <w:lang w:bidi="ar"/>
        </w:rPr>
        <w:t xml:space="preserve"> </w:t>
      </w:r>
    </w:p>
    <w:p w14:paraId="36CF96A3">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Calibri" w:eastAsia="仿宋_GB2312" w:cs="仿宋_GB2312"/>
          <w:sz w:val="32"/>
          <w:szCs w:val="32"/>
          <w:highlight w:val="none"/>
          <w:lang w:bidi="ar"/>
        </w:rPr>
      </w:pPr>
      <w:r>
        <w:rPr>
          <w:rFonts w:ascii="仿宋_GB2312" w:hAnsi="Calibri" w:eastAsia="仿宋_GB2312" w:cs="仿宋_GB2312"/>
          <w:sz w:val="32"/>
          <w:szCs w:val="32"/>
          <w:highlight w:val="none"/>
          <w:lang w:bidi="ar"/>
        </w:rPr>
        <w:t xml:space="preserve"> </w:t>
      </w:r>
    </w:p>
    <w:p w14:paraId="294A2720">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hAnsi="Calibri" w:eastAsia="仿宋_GB2312" w:cs="仿宋_GB2312"/>
          <w:sz w:val="32"/>
          <w:szCs w:val="32"/>
          <w:highlight w:val="none"/>
          <w:lang w:bidi="ar"/>
        </w:rPr>
      </w:pPr>
    </w:p>
    <w:p w14:paraId="596E4B0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cs="宋体"/>
          <w:sz w:val="24"/>
          <w:szCs w:val="24"/>
          <w:highlight w:val="none"/>
          <w:lang w:val="en-US" w:eastAsia="zh-CN" w:bidi="ar"/>
        </w:rPr>
        <w:t xml:space="preserve">   </w:t>
      </w:r>
      <w:r>
        <w:rPr>
          <w:rFonts w:hint="eastAsia" w:ascii="宋体" w:hAnsi="宋体" w:eastAsia="宋体" w:cs="宋体"/>
          <w:sz w:val="24"/>
          <w:szCs w:val="24"/>
          <w:highlight w:val="none"/>
          <w:lang w:val="en-US" w:eastAsia="zh-CN" w:bidi="ar"/>
        </w:rPr>
        <w:t xml:space="preserve"> </w:t>
      </w:r>
      <w:r>
        <w:rPr>
          <w:rFonts w:hint="eastAsia" w:ascii="宋体" w:hAnsi="宋体" w:eastAsia="宋体" w:cs="宋体"/>
          <w:sz w:val="24"/>
          <w:szCs w:val="24"/>
          <w:highlight w:val="none"/>
          <w:lang w:bidi="ar"/>
        </w:rPr>
        <w:t>2024年</w:t>
      </w:r>
      <w:r>
        <w:rPr>
          <w:rFonts w:hint="eastAsia" w:ascii="宋体" w:hAnsi="宋体" w:cs="宋体"/>
          <w:sz w:val="24"/>
          <w:szCs w:val="24"/>
          <w:highlight w:val="none"/>
          <w:lang w:val="en-US" w:eastAsia="zh-CN" w:bidi="ar"/>
        </w:rPr>
        <w:t>7月26</w:t>
      </w:r>
      <w:r>
        <w:rPr>
          <w:rFonts w:hint="eastAsia" w:ascii="宋体" w:hAnsi="宋体" w:eastAsia="宋体" w:cs="宋体"/>
          <w:sz w:val="24"/>
          <w:szCs w:val="24"/>
          <w:highlight w:val="none"/>
          <w:lang w:bidi="ar"/>
        </w:rPr>
        <w:t>日</w:t>
      </w:r>
    </w:p>
    <w:p w14:paraId="48E1FFB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宋体"/>
          <w:b/>
          <w:bCs/>
          <w:sz w:val="28"/>
          <w:szCs w:val="28"/>
          <w:highlight w:val="none"/>
        </w:rPr>
      </w:pPr>
      <w:r>
        <w:rPr>
          <w:rFonts w:hint="eastAsia" w:ascii="宋体" w:hAnsi="宋体" w:cs="宋体"/>
          <w:b/>
          <w:bCs/>
          <w:sz w:val="28"/>
          <w:szCs w:val="28"/>
          <w:highlight w:val="none"/>
          <w:lang w:bidi="ar"/>
        </w:rPr>
        <w:t xml:space="preserve">  </w:t>
      </w:r>
    </w:p>
    <w:p w14:paraId="1F8A6254">
      <w:pPr>
        <w:rPr>
          <w:rFonts w:ascii="Calibri" w:hAnsi="Calibri"/>
          <w:szCs w:val="21"/>
          <w:highlight w:val="none"/>
        </w:rPr>
      </w:pPr>
      <w:r>
        <w:rPr>
          <w:rFonts w:ascii="Calibri" w:hAnsi="Calibri"/>
          <w:szCs w:val="21"/>
          <w:highlight w:val="none"/>
          <w:lang w:bidi="ar"/>
        </w:rPr>
        <w:t xml:space="preserve"> </w:t>
      </w:r>
    </w:p>
    <w:p w14:paraId="78EC9B64">
      <w:pPr>
        <w:rPr>
          <w:rFonts w:ascii="Calibri" w:hAnsi="Calibri"/>
          <w:szCs w:val="21"/>
          <w:highlight w:val="none"/>
        </w:rPr>
      </w:pPr>
      <w:r>
        <w:rPr>
          <w:rFonts w:ascii="Calibri" w:hAnsi="Calibri"/>
          <w:szCs w:val="21"/>
          <w:highlight w:val="none"/>
          <w:lang w:bidi="ar"/>
        </w:rPr>
        <w:t xml:space="preserve"> </w:t>
      </w:r>
    </w:p>
    <w:p w14:paraId="231E2D81">
      <w:pPr>
        <w:rPr>
          <w:rFonts w:hint="eastAsia" w:ascii="微软雅黑" w:hAnsi="微软雅黑" w:eastAsia="微软雅黑" w:cs="微软雅黑"/>
          <w:color w:val="000000"/>
          <w:sz w:val="27"/>
          <w:szCs w:val="27"/>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5A09ED7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目录</w:t>
      </w:r>
    </w:p>
    <w:p w14:paraId="53E12EB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4"/>
          <w:szCs w:val="24"/>
        </w:rPr>
      </w:pPr>
    </w:p>
    <w:p w14:paraId="6CAE1C09">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szCs w:val="24"/>
        </w:rPr>
        <w:fldChar w:fldCharType="begin"/>
      </w:r>
      <w:r>
        <w:rPr>
          <w:rFonts w:hint="eastAsia" w:ascii="仿宋" w:hAnsi="仿宋" w:eastAsia="仿宋" w:cs="仿宋"/>
          <w:szCs w:val="24"/>
        </w:rPr>
        <w:instrText xml:space="preserve"> HYPERLINK \l _Toc9416 </w:instrText>
      </w:r>
      <w:r>
        <w:rPr>
          <w:rFonts w:hint="eastAsia" w:ascii="仿宋" w:hAnsi="仿宋" w:eastAsia="仿宋" w:cs="仿宋"/>
          <w:szCs w:val="24"/>
        </w:rPr>
        <w:fldChar w:fldCharType="separate"/>
      </w:r>
      <w:r>
        <w:rPr>
          <w:rFonts w:hint="eastAsia" w:ascii="宋体" w:hAnsi="宋体" w:eastAsia="宋体" w:cs="宋体"/>
          <w:bCs/>
          <w:szCs w:val="32"/>
        </w:rPr>
        <w:t xml:space="preserve">一、 </w:t>
      </w:r>
      <w:r>
        <w:rPr>
          <w:rFonts w:hint="eastAsia" w:ascii="仿宋" w:hAnsi="仿宋" w:eastAsia="仿宋" w:cs="仿宋"/>
          <w:bCs/>
          <w:szCs w:val="32"/>
          <w:highlight w:val="none"/>
          <w:lang w:bidi="ar"/>
        </w:rPr>
        <w:t>部门基本情况</w:t>
      </w:r>
      <w:r>
        <w:tab/>
      </w:r>
      <w:r>
        <w:fldChar w:fldCharType="begin"/>
      </w:r>
      <w:r>
        <w:instrText xml:space="preserve"> PAGEREF _Toc9416 \h </w:instrText>
      </w:r>
      <w:r>
        <w:fldChar w:fldCharType="separate"/>
      </w:r>
      <w:r>
        <w:t>1</w:t>
      </w:r>
      <w:r>
        <w:fldChar w:fldCharType="end"/>
      </w:r>
      <w:r>
        <w:rPr>
          <w:rFonts w:hint="eastAsia" w:ascii="仿宋" w:hAnsi="仿宋" w:eastAsia="仿宋" w:cs="仿宋"/>
          <w:szCs w:val="24"/>
        </w:rPr>
        <w:fldChar w:fldCharType="end"/>
      </w:r>
    </w:p>
    <w:p w14:paraId="12D8E256">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_Toc25361 </w:instrText>
      </w:r>
      <w:r>
        <w:rPr>
          <w:rFonts w:hint="eastAsia" w:ascii="仿宋" w:hAnsi="仿宋" w:eastAsia="仿宋" w:cs="仿宋"/>
          <w:szCs w:val="24"/>
        </w:rPr>
        <w:fldChar w:fldCharType="separate"/>
      </w:r>
      <w:r>
        <w:rPr>
          <w:rFonts w:hint="eastAsia" w:ascii="仿宋" w:hAnsi="仿宋" w:eastAsia="仿宋" w:cs="仿宋"/>
          <w:bCs/>
          <w:szCs w:val="32"/>
          <w:highlight w:val="none"/>
        </w:rPr>
        <w:t>（一）部门主要职能</w:t>
      </w:r>
      <w:r>
        <w:tab/>
      </w:r>
      <w:r>
        <w:fldChar w:fldCharType="begin"/>
      </w:r>
      <w:r>
        <w:instrText xml:space="preserve"> PAGEREF _Toc25361 \h </w:instrText>
      </w:r>
      <w:r>
        <w:fldChar w:fldCharType="separate"/>
      </w:r>
      <w:r>
        <w:t>1</w:t>
      </w:r>
      <w:r>
        <w:fldChar w:fldCharType="end"/>
      </w:r>
      <w:r>
        <w:rPr>
          <w:rFonts w:hint="eastAsia" w:ascii="仿宋" w:hAnsi="仿宋" w:eastAsia="仿宋" w:cs="仿宋"/>
          <w:szCs w:val="24"/>
        </w:rPr>
        <w:fldChar w:fldCharType="end"/>
      </w:r>
    </w:p>
    <w:p w14:paraId="23B1C26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_Toc13854 </w:instrText>
      </w:r>
      <w:r>
        <w:rPr>
          <w:rFonts w:hint="eastAsia" w:ascii="仿宋" w:hAnsi="仿宋" w:eastAsia="仿宋" w:cs="仿宋"/>
          <w:szCs w:val="24"/>
        </w:rPr>
        <w:fldChar w:fldCharType="separate"/>
      </w:r>
      <w:r>
        <w:rPr>
          <w:rFonts w:hint="eastAsia" w:ascii="仿宋" w:hAnsi="仿宋" w:eastAsia="仿宋" w:cs="仿宋"/>
          <w:bCs/>
          <w:szCs w:val="32"/>
          <w:highlight w:val="none"/>
        </w:rPr>
        <w:t>（二）机构设置情况</w:t>
      </w:r>
      <w:r>
        <w:tab/>
      </w:r>
      <w:r>
        <w:fldChar w:fldCharType="begin"/>
      </w:r>
      <w:r>
        <w:instrText xml:space="preserve"> PAGEREF _Toc13854 \h </w:instrText>
      </w:r>
      <w:r>
        <w:fldChar w:fldCharType="separate"/>
      </w:r>
      <w:r>
        <w:t>2</w:t>
      </w:r>
      <w:r>
        <w:fldChar w:fldCharType="end"/>
      </w:r>
      <w:r>
        <w:rPr>
          <w:rFonts w:hint="eastAsia" w:ascii="仿宋" w:hAnsi="仿宋" w:eastAsia="仿宋" w:cs="仿宋"/>
          <w:szCs w:val="24"/>
        </w:rPr>
        <w:fldChar w:fldCharType="end"/>
      </w:r>
    </w:p>
    <w:p w14:paraId="23C54130">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_Toc11117 </w:instrText>
      </w:r>
      <w:r>
        <w:rPr>
          <w:rFonts w:hint="eastAsia" w:ascii="仿宋" w:hAnsi="仿宋" w:eastAsia="仿宋" w:cs="仿宋"/>
          <w:szCs w:val="24"/>
        </w:rPr>
        <w:fldChar w:fldCharType="separate"/>
      </w:r>
      <w:r>
        <w:rPr>
          <w:rFonts w:hint="eastAsia" w:ascii="仿宋" w:hAnsi="仿宋" w:eastAsia="仿宋" w:cs="仿宋"/>
          <w:bCs/>
          <w:szCs w:val="32"/>
          <w:highlight w:val="none"/>
        </w:rPr>
        <w:t>（三）人员编制情况</w:t>
      </w:r>
      <w:r>
        <w:tab/>
      </w:r>
      <w:r>
        <w:fldChar w:fldCharType="begin"/>
      </w:r>
      <w:r>
        <w:instrText xml:space="preserve"> PAGEREF _Toc11117 \h </w:instrText>
      </w:r>
      <w:r>
        <w:fldChar w:fldCharType="separate"/>
      </w:r>
      <w:r>
        <w:t>2</w:t>
      </w:r>
      <w:r>
        <w:fldChar w:fldCharType="end"/>
      </w:r>
      <w:r>
        <w:rPr>
          <w:rFonts w:hint="eastAsia" w:ascii="仿宋" w:hAnsi="仿宋" w:eastAsia="仿宋" w:cs="仿宋"/>
          <w:szCs w:val="24"/>
        </w:rPr>
        <w:fldChar w:fldCharType="end"/>
      </w:r>
    </w:p>
    <w:p w14:paraId="46D5BA95">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_Toc30604 </w:instrText>
      </w:r>
      <w:r>
        <w:rPr>
          <w:rFonts w:hint="eastAsia" w:ascii="仿宋" w:hAnsi="仿宋" w:eastAsia="仿宋" w:cs="仿宋"/>
          <w:szCs w:val="24"/>
        </w:rPr>
        <w:fldChar w:fldCharType="separate"/>
      </w:r>
      <w:r>
        <w:rPr>
          <w:rFonts w:hint="eastAsia" w:ascii="仿宋" w:hAnsi="仿宋" w:eastAsia="仿宋" w:cs="仿宋"/>
          <w:bCs/>
          <w:szCs w:val="32"/>
          <w:highlight w:val="none"/>
        </w:rPr>
        <w:t>（四）年度总体工作和重点工作任务</w:t>
      </w:r>
      <w:r>
        <w:tab/>
      </w:r>
      <w:r>
        <w:fldChar w:fldCharType="begin"/>
      </w:r>
      <w:r>
        <w:instrText xml:space="preserve"> PAGEREF _Toc30604 \h </w:instrText>
      </w:r>
      <w:r>
        <w:fldChar w:fldCharType="separate"/>
      </w:r>
      <w:r>
        <w:t>2</w:t>
      </w:r>
      <w:r>
        <w:fldChar w:fldCharType="end"/>
      </w:r>
      <w:r>
        <w:rPr>
          <w:rFonts w:hint="eastAsia" w:ascii="仿宋" w:hAnsi="仿宋" w:eastAsia="仿宋" w:cs="仿宋"/>
          <w:szCs w:val="24"/>
        </w:rPr>
        <w:fldChar w:fldCharType="end"/>
      </w:r>
    </w:p>
    <w:p w14:paraId="691D53B7">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_Toc26813 </w:instrText>
      </w:r>
      <w:r>
        <w:rPr>
          <w:rFonts w:hint="eastAsia" w:ascii="仿宋" w:hAnsi="仿宋" w:eastAsia="仿宋" w:cs="仿宋"/>
          <w:szCs w:val="24"/>
        </w:rPr>
        <w:fldChar w:fldCharType="separate"/>
      </w:r>
      <w:r>
        <w:rPr>
          <w:rFonts w:hint="eastAsia" w:ascii="仿宋" w:hAnsi="仿宋" w:eastAsia="仿宋" w:cs="仿宋"/>
          <w:bCs/>
          <w:szCs w:val="32"/>
          <w:highlight w:val="none"/>
        </w:rPr>
        <w:t>（五）部门预算批复及整体支出安排情况</w:t>
      </w:r>
      <w:r>
        <w:tab/>
      </w:r>
      <w:r>
        <w:fldChar w:fldCharType="begin"/>
      </w:r>
      <w:r>
        <w:instrText xml:space="preserve"> PAGEREF _Toc26813 \h </w:instrText>
      </w:r>
      <w:r>
        <w:fldChar w:fldCharType="separate"/>
      </w:r>
      <w:r>
        <w:t>5</w:t>
      </w:r>
      <w:r>
        <w:fldChar w:fldCharType="end"/>
      </w:r>
      <w:r>
        <w:rPr>
          <w:rFonts w:hint="eastAsia" w:ascii="仿宋" w:hAnsi="仿宋" w:eastAsia="仿宋" w:cs="仿宋"/>
          <w:szCs w:val="24"/>
        </w:rPr>
        <w:fldChar w:fldCharType="end"/>
      </w:r>
    </w:p>
    <w:p w14:paraId="0236F5EF">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_Toc18283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二、绩效评价工作开展情况</w:t>
      </w:r>
      <w:r>
        <w:tab/>
      </w:r>
      <w:r>
        <w:fldChar w:fldCharType="begin"/>
      </w:r>
      <w:r>
        <w:instrText xml:space="preserve"> PAGEREF _Toc18283 \h </w:instrText>
      </w:r>
      <w:r>
        <w:fldChar w:fldCharType="separate"/>
      </w:r>
      <w:r>
        <w:t>5</w:t>
      </w:r>
      <w:r>
        <w:fldChar w:fldCharType="end"/>
      </w:r>
      <w:r>
        <w:rPr>
          <w:rFonts w:hint="eastAsia" w:ascii="仿宋" w:hAnsi="仿宋" w:eastAsia="仿宋" w:cs="仿宋"/>
          <w:szCs w:val="24"/>
        </w:rPr>
        <w:fldChar w:fldCharType="end"/>
      </w:r>
    </w:p>
    <w:p w14:paraId="0A6533E2">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_Toc15312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（一）绩效评价目的、对象和范围</w:t>
      </w:r>
      <w:r>
        <w:tab/>
      </w:r>
      <w:r>
        <w:fldChar w:fldCharType="begin"/>
      </w:r>
      <w:r>
        <w:instrText xml:space="preserve"> PAGEREF _Toc15312 \h </w:instrText>
      </w:r>
      <w:r>
        <w:fldChar w:fldCharType="separate"/>
      </w:r>
      <w:r>
        <w:t>5</w:t>
      </w:r>
      <w:r>
        <w:fldChar w:fldCharType="end"/>
      </w:r>
      <w:r>
        <w:rPr>
          <w:rFonts w:hint="eastAsia" w:ascii="仿宋" w:hAnsi="仿宋" w:eastAsia="仿宋" w:cs="仿宋"/>
          <w:szCs w:val="24"/>
        </w:rPr>
        <w:fldChar w:fldCharType="end"/>
      </w:r>
    </w:p>
    <w:p w14:paraId="745FE564">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_Toc30657 </w:instrText>
      </w:r>
      <w:r>
        <w:rPr>
          <w:rFonts w:hint="eastAsia" w:ascii="仿宋" w:hAnsi="仿宋" w:eastAsia="仿宋" w:cs="仿宋"/>
          <w:szCs w:val="24"/>
        </w:rPr>
        <w:fldChar w:fldCharType="separate"/>
      </w:r>
      <w:r>
        <w:rPr>
          <w:rFonts w:hint="eastAsia" w:ascii="仿宋" w:hAnsi="仿宋" w:eastAsia="仿宋" w:cs="仿宋"/>
          <w:bCs/>
          <w:szCs w:val="32"/>
          <w:highlight w:val="none"/>
          <w:lang w:val="en"/>
        </w:rPr>
        <w:t>（</w:t>
      </w:r>
      <w:r>
        <w:rPr>
          <w:rFonts w:hint="eastAsia" w:ascii="仿宋" w:hAnsi="仿宋" w:eastAsia="仿宋" w:cs="仿宋"/>
          <w:bCs/>
          <w:szCs w:val="32"/>
          <w:highlight w:val="none"/>
        </w:rPr>
        <w:t>二）</w:t>
      </w:r>
      <w:r>
        <w:rPr>
          <w:rFonts w:hint="eastAsia" w:ascii="仿宋" w:hAnsi="仿宋" w:eastAsia="仿宋" w:cs="仿宋"/>
          <w:bCs/>
          <w:szCs w:val="32"/>
          <w:highlight w:val="none"/>
          <w:lang w:val="en-US" w:eastAsia="zh-CN"/>
        </w:rPr>
        <w:t>评价依据、</w:t>
      </w:r>
      <w:r>
        <w:rPr>
          <w:rFonts w:hint="eastAsia" w:ascii="仿宋" w:hAnsi="仿宋" w:eastAsia="仿宋" w:cs="仿宋"/>
          <w:bCs/>
          <w:szCs w:val="32"/>
          <w:highlight w:val="none"/>
          <w:lang w:val="en"/>
        </w:rPr>
        <w:t>绩效评价原则、评价方法、评价标准、评价指标体系</w:t>
      </w:r>
      <w:r>
        <w:tab/>
      </w:r>
      <w:r>
        <w:fldChar w:fldCharType="begin"/>
      </w:r>
      <w:r>
        <w:instrText xml:space="preserve"> PAGEREF _Toc30657 \h </w:instrText>
      </w:r>
      <w:r>
        <w:fldChar w:fldCharType="separate"/>
      </w:r>
      <w:r>
        <w:t>6</w:t>
      </w:r>
      <w:r>
        <w:fldChar w:fldCharType="end"/>
      </w:r>
      <w:r>
        <w:rPr>
          <w:rFonts w:hint="eastAsia" w:ascii="仿宋" w:hAnsi="仿宋" w:eastAsia="仿宋" w:cs="仿宋"/>
          <w:szCs w:val="24"/>
        </w:rPr>
        <w:fldChar w:fldCharType="end"/>
      </w:r>
    </w:p>
    <w:p w14:paraId="25A61300">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_Toc22845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（三）绩效评价工作过程</w:t>
      </w:r>
      <w:r>
        <w:tab/>
      </w:r>
      <w:r>
        <w:fldChar w:fldCharType="begin"/>
      </w:r>
      <w:r>
        <w:instrText xml:space="preserve"> PAGEREF _Toc22845 \h </w:instrText>
      </w:r>
      <w:r>
        <w:fldChar w:fldCharType="separate"/>
      </w:r>
      <w:r>
        <w:t>9</w:t>
      </w:r>
      <w:r>
        <w:fldChar w:fldCharType="end"/>
      </w:r>
      <w:r>
        <w:rPr>
          <w:rFonts w:hint="eastAsia" w:ascii="仿宋" w:hAnsi="仿宋" w:eastAsia="仿宋" w:cs="仿宋"/>
          <w:szCs w:val="24"/>
        </w:rPr>
        <w:fldChar w:fldCharType="end"/>
      </w:r>
    </w:p>
    <w:p w14:paraId="0DE4165A">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_Toc4815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三、综合评价情况及评价结论</w:t>
      </w:r>
      <w:r>
        <w:tab/>
      </w:r>
      <w:r>
        <w:fldChar w:fldCharType="begin"/>
      </w:r>
      <w:r>
        <w:instrText xml:space="preserve"> PAGEREF _Toc4815 \h </w:instrText>
      </w:r>
      <w:r>
        <w:fldChar w:fldCharType="separate"/>
      </w:r>
      <w:r>
        <w:t>11</w:t>
      </w:r>
      <w:r>
        <w:fldChar w:fldCharType="end"/>
      </w:r>
      <w:r>
        <w:rPr>
          <w:rFonts w:hint="eastAsia" w:ascii="仿宋" w:hAnsi="仿宋" w:eastAsia="仿宋" w:cs="仿宋"/>
          <w:szCs w:val="24"/>
        </w:rPr>
        <w:fldChar w:fldCharType="end"/>
      </w:r>
    </w:p>
    <w:p w14:paraId="40A175FA">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_Toc12861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四、绩效评价指标分析</w:t>
      </w:r>
      <w:r>
        <w:tab/>
      </w:r>
      <w:r>
        <w:fldChar w:fldCharType="begin"/>
      </w:r>
      <w:r>
        <w:instrText xml:space="preserve"> PAGEREF _Toc12861 \h </w:instrText>
      </w:r>
      <w:r>
        <w:fldChar w:fldCharType="separate"/>
      </w:r>
      <w:r>
        <w:t>11</w:t>
      </w:r>
      <w:r>
        <w:fldChar w:fldCharType="end"/>
      </w:r>
      <w:r>
        <w:rPr>
          <w:rFonts w:hint="eastAsia" w:ascii="仿宋" w:hAnsi="仿宋" w:eastAsia="仿宋" w:cs="仿宋"/>
          <w:szCs w:val="24"/>
        </w:rPr>
        <w:fldChar w:fldCharType="end"/>
      </w:r>
    </w:p>
    <w:p w14:paraId="2DA290DE">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_Toc31989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（一）项目投入情况</w:t>
      </w:r>
      <w:r>
        <w:tab/>
      </w:r>
      <w:r>
        <w:fldChar w:fldCharType="begin"/>
      </w:r>
      <w:r>
        <w:instrText xml:space="preserve"> PAGEREF _Toc31989 \h </w:instrText>
      </w:r>
      <w:r>
        <w:fldChar w:fldCharType="separate"/>
      </w:r>
      <w:r>
        <w:t>11</w:t>
      </w:r>
      <w:r>
        <w:fldChar w:fldCharType="end"/>
      </w:r>
      <w:r>
        <w:rPr>
          <w:rFonts w:hint="eastAsia" w:ascii="仿宋" w:hAnsi="仿宋" w:eastAsia="仿宋" w:cs="仿宋"/>
          <w:szCs w:val="24"/>
        </w:rPr>
        <w:fldChar w:fldCharType="end"/>
      </w:r>
    </w:p>
    <w:p w14:paraId="7A637B69">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_Toc14711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（二）项目过程情况</w:t>
      </w:r>
      <w:r>
        <w:tab/>
      </w:r>
      <w:r>
        <w:fldChar w:fldCharType="begin"/>
      </w:r>
      <w:r>
        <w:instrText xml:space="preserve"> PAGEREF _Toc14711 \h </w:instrText>
      </w:r>
      <w:r>
        <w:fldChar w:fldCharType="separate"/>
      </w:r>
      <w:r>
        <w:t>13</w:t>
      </w:r>
      <w:r>
        <w:fldChar w:fldCharType="end"/>
      </w:r>
      <w:r>
        <w:rPr>
          <w:rFonts w:hint="eastAsia" w:ascii="仿宋" w:hAnsi="仿宋" w:eastAsia="仿宋" w:cs="仿宋"/>
          <w:szCs w:val="24"/>
        </w:rPr>
        <w:fldChar w:fldCharType="end"/>
      </w:r>
    </w:p>
    <w:p w14:paraId="0E6A0B81">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_Toc9956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（三）项目产出情况</w:t>
      </w:r>
      <w:r>
        <w:tab/>
      </w:r>
      <w:r>
        <w:fldChar w:fldCharType="begin"/>
      </w:r>
      <w:r>
        <w:instrText xml:space="preserve"> PAGEREF _Toc9956 \h </w:instrText>
      </w:r>
      <w:r>
        <w:fldChar w:fldCharType="separate"/>
      </w:r>
      <w:r>
        <w:t>18</w:t>
      </w:r>
      <w:r>
        <w:fldChar w:fldCharType="end"/>
      </w:r>
      <w:r>
        <w:rPr>
          <w:rFonts w:hint="eastAsia" w:ascii="仿宋" w:hAnsi="仿宋" w:eastAsia="仿宋" w:cs="仿宋"/>
          <w:szCs w:val="24"/>
        </w:rPr>
        <w:fldChar w:fldCharType="end"/>
      </w:r>
    </w:p>
    <w:p w14:paraId="5445336F">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_Toc19186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（四）部门效益情况</w:t>
      </w:r>
      <w:r>
        <w:tab/>
      </w:r>
      <w:r>
        <w:fldChar w:fldCharType="begin"/>
      </w:r>
      <w:r>
        <w:instrText xml:space="preserve"> PAGEREF _Toc19186 \h </w:instrText>
      </w:r>
      <w:r>
        <w:fldChar w:fldCharType="separate"/>
      </w:r>
      <w:r>
        <w:t>19</w:t>
      </w:r>
      <w:r>
        <w:fldChar w:fldCharType="end"/>
      </w:r>
      <w:r>
        <w:rPr>
          <w:rFonts w:hint="eastAsia" w:ascii="仿宋" w:hAnsi="仿宋" w:eastAsia="仿宋" w:cs="仿宋"/>
          <w:szCs w:val="24"/>
        </w:rPr>
        <w:fldChar w:fldCharType="end"/>
      </w:r>
    </w:p>
    <w:p w14:paraId="5E67093A">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_Toc23095 </w:instrText>
      </w:r>
      <w:r>
        <w:rPr>
          <w:rFonts w:hint="eastAsia" w:ascii="仿宋" w:hAnsi="仿宋" w:eastAsia="仿宋" w:cs="仿宋"/>
          <w:szCs w:val="24"/>
        </w:rPr>
        <w:fldChar w:fldCharType="separate"/>
      </w:r>
      <w:r>
        <w:rPr>
          <w:rFonts w:hint="eastAsia" w:ascii="仿宋" w:hAnsi="仿宋" w:eastAsia="仿宋" w:cs="仿宋"/>
          <w:kern w:val="0"/>
          <w:szCs w:val="32"/>
          <w:lang w:val="en-US" w:eastAsia="zh-CN" w:bidi="ar"/>
        </w:rPr>
        <w:t xml:space="preserve">五、 </w:t>
      </w:r>
      <w:r>
        <w:rPr>
          <w:rFonts w:hint="eastAsia" w:ascii="仿宋" w:hAnsi="仿宋" w:eastAsia="仿宋" w:cs="仿宋"/>
          <w:szCs w:val="32"/>
          <w:highlight w:val="none"/>
        </w:rPr>
        <w:t>主要问题分析</w:t>
      </w:r>
      <w:r>
        <w:tab/>
      </w:r>
      <w:r>
        <w:fldChar w:fldCharType="begin"/>
      </w:r>
      <w:r>
        <w:instrText xml:space="preserve"> PAGEREF _Toc23095 \h </w:instrText>
      </w:r>
      <w:r>
        <w:fldChar w:fldCharType="separate"/>
      </w:r>
      <w:r>
        <w:t>21</w:t>
      </w:r>
      <w:r>
        <w:fldChar w:fldCharType="end"/>
      </w:r>
      <w:r>
        <w:rPr>
          <w:rFonts w:hint="eastAsia" w:ascii="仿宋" w:hAnsi="仿宋" w:eastAsia="仿宋" w:cs="仿宋"/>
          <w:szCs w:val="24"/>
        </w:rPr>
        <w:fldChar w:fldCharType="end"/>
      </w:r>
    </w:p>
    <w:p w14:paraId="0DFCE535">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_Toc14537 </w:instrText>
      </w:r>
      <w:r>
        <w:rPr>
          <w:rFonts w:hint="eastAsia" w:ascii="仿宋" w:hAnsi="仿宋" w:eastAsia="仿宋" w:cs="仿宋"/>
          <w:szCs w:val="24"/>
        </w:rPr>
        <w:fldChar w:fldCharType="separate"/>
      </w:r>
      <w:r>
        <w:rPr>
          <w:rFonts w:hint="eastAsia" w:ascii="仿宋" w:hAnsi="仿宋" w:eastAsia="仿宋" w:cs="仿宋"/>
          <w:kern w:val="0"/>
          <w:szCs w:val="32"/>
          <w:highlight w:val="none"/>
          <w:lang w:val="en-US" w:eastAsia="zh-CN" w:bidi="ar"/>
        </w:rPr>
        <w:t>（一）预算管理方面</w:t>
      </w:r>
      <w:r>
        <w:tab/>
      </w:r>
      <w:r>
        <w:fldChar w:fldCharType="begin"/>
      </w:r>
      <w:r>
        <w:instrText xml:space="preserve"> PAGEREF _Toc14537 \h </w:instrText>
      </w:r>
      <w:r>
        <w:fldChar w:fldCharType="separate"/>
      </w:r>
      <w:r>
        <w:t>21</w:t>
      </w:r>
      <w:r>
        <w:fldChar w:fldCharType="end"/>
      </w:r>
      <w:r>
        <w:rPr>
          <w:rFonts w:hint="eastAsia" w:ascii="仿宋" w:hAnsi="仿宋" w:eastAsia="仿宋" w:cs="仿宋"/>
          <w:szCs w:val="24"/>
        </w:rPr>
        <w:fldChar w:fldCharType="end"/>
      </w:r>
    </w:p>
    <w:p w14:paraId="2C3F81F0">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_Toc15330 </w:instrText>
      </w:r>
      <w:r>
        <w:rPr>
          <w:rFonts w:hint="eastAsia" w:ascii="仿宋" w:hAnsi="仿宋" w:eastAsia="仿宋" w:cs="仿宋"/>
          <w:szCs w:val="24"/>
        </w:rPr>
        <w:fldChar w:fldCharType="separate"/>
      </w:r>
      <w:r>
        <w:rPr>
          <w:rFonts w:hint="eastAsia" w:ascii="仿宋" w:hAnsi="仿宋" w:eastAsia="仿宋" w:cs="仿宋"/>
          <w:szCs w:val="32"/>
        </w:rPr>
        <w:t xml:space="preserve">六、 </w:t>
      </w:r>
      <w:r>
        <w:rPr>
          <w:rFonts w:hint="eastAsia" w:ascii="仿宋" w:hAnsi="仿宋" w:eastAsia="仿宋" w:cs="仿宋"/>
          <w:szCs w:val="32"/>
          <w:highlight w:val="none"/>
        </w:rPr>
        <w:t>相关建议</w:t>
      </w:r>
      <w:r>
        <w:tab/>
      </w:r>
      <w:r>
        <w:fldChar w:fldCharType="begin"/>
      </w:r>
      <w:r>
        <w:instrText xml:space="preserve"> PAGEREF _Toc15330 \h </w:instrText>
      </w:r>
      <w:r>
        <w:fldChar w:fldCharType="separate"/>
      </w:r>
      <w:r>
        <w:t>21</w:t>
      </w:r>
      <w:r>
        <w:fldChar w:fldCharType="end"/>
      </w:r>
      <w:r>
        <w:rPr>
          <w:rFonts w:hint="eastAsia" w:ascii="仿宋" w:hAnsi="仿宋" w:eastAsia="仿宋" w:cs="仿宋"/>
          <w:szCs w:val="24"/>
        </w:rPr>
        <w:fldChar w:fldCharType="end"/>
      </w:r>
    </w:p>
    <w:p w14:paraId="3A2C4BDB">
      <w:pPr>
        <w:pStyle w:val="8"/>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_Toc19032 </w:instrText>
      </w:r>
      <w:r>
        <w:rPr>
          <w:rFonts w:hint="eastAsia" w:ascii="仿宋" w:hAnsi="仿宋" w:eastAsia="仿宋" w:cs="仿宋"/>
          <w:szCs w:val="24"/>
        </w:rPr>
        <w:fldChar w:fldCharType="separate"/>
      </w:r>
      <w:r>
        <w:rPr>
          <w:rFonts w:hint="eastAsia" w:ascii="仿宋" w:hAnsi="仿宋" w:eastAsia="仿宋" w:cs="仿宋"/>
          <w:szCs w:val="32"/>
          <w:lang w:val="en-US" w:eastAsia="zh-CN" w:bidi="ar"/>
        </w:rPr>
        <w:t xml:space="preserve">（一） </w:t>
      </w:r>
      <w:r>
        <w:rPr>
          <w:rFonts w:hint="eastAsia" w:ascii="仿宋" w:hAnsi="仿宋" w:eastAsia="仿宋" w:cs="仿宋"/>
          <w:szCs w:val="32"/>
          <w:highlight w:val="none"/>
          <w:lang w:val="en-US" w:eastAsia="zh-CN" w:bidi="ar"/>
        </w:rPr>
        <w:t>预算管理方面</w:t>
      </w:r>
      <w:r>
        <w:tab/>
      </w:r>
      <w:r>
        <w:fldChar w:fldCharType="begin"/>
      </w:r>
      <w:r>
        <w:instrText xml:space="preserve"> PAGEREF _Toc19032 \h </w:instrText>
      </w:r>
      <w:r>
        <w:fldChar w:fldCharType="separate"/>
      </w:r>
      <w:r>
        <w:t>21</w:t>
      </w:r>
      <w:r>
        <w:fldChar w:fldCharType="end"/>
      </w:r>
      <w:r>
        <w:rPr>
          <w:rFonts w:hint="eastAsia" w:ascii="仿宋" w:hAnsi="仿宋" w:eastAsia="仿宋" w:cs="仿宋"/>
          <w:szCs w:val="24"/>
        </w:rPr>
        <w:fldChar w:fldCharType="end"/>
      </w:r>
    </w:p>
    <w:p w14:paraId="6EBF271D">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_Toc15137 </w:instrText>
      </w:r>
      <w:r>
        <w:rPr>
          <w:rFonts w:hint="eastAsia" w:ascii="仿宋" w:hAnsi="仿宋" w:eastAsia="仿宋" w:cs="仿宋"/>
          <w:szCs w:val="24"/>
        </w:rPr>
        <w:fldChar w:fldCharType="separate"/>
      </w:r>
      <w:r>
        <w:rPr>
          <w:rFonts w:hint="eastAsia" w:ascii="仿宋" w:hAnsi="仿宋" w:eastAsia="仿宋" w:cs="仿宋"/>
          <w:bCs/>
          <w:szCs w:val="32"/>
        </w:rPr>
        <w:t xml:space="preserve">七、 </w:t>
      </w:r>
      <w:r>
        <w:rPr>
          <w:rFonts w:hint="eastAsia" w:ascii="仿宋" w:hAnsi="仿宋" w:eastAsia="仿宋" w:cs="仿宋"/>
          <w:bCs/>
          <w:szCs w:val="32"/>
          <w:highlight w:val="none"/>
          <w:lang w:val="en-US" w:eastAsia="zh-CN"/>
        </w:rPr>
        <w:t>其他需要说明的问题</w:t>
      </w:r>
      <w:r>
        <w:tab/>
      </w:r>
      <w:r>
        <w:fldChar w:fldCharType="begin"/>
      </w:r>
      <w:r>
        <w:instrText xml:space="preserve"> PAGEREF _Toc15137 \h </w:instrText>
      </w:r>
      <w:r>
        <w:fldChar w:fldCharType="separate"/>
      </w:r>
      <w:r>
        <w:t>21</w:t>
      </w:r>
      <w:r>
        <w:fldChar w:fldCharType="end"/>
      </w:r>
      <w:r>
        <w:rPr>
          <w:rFonts w:hint="eastAsia" w:ascii="仿宋" w:hAnsi="仿宋" w:eastAsia="仿宋" w:cs="仿宋"/>
          <w:szCs w:val="24"/>
        </w:rPr>
        <w:fldChar w:fldCharType="end"/>
      </w:r>
    </w:p>
    <w:p w14:paraId="60908337">
      <w:pPr>
        <w:pStyle w:val="7"/>
        <w:keepNext w:val="0"/>
        <w:keepLines w:val="0"/>
        <w:pageBreakBefore w:val="0"/>
        <w:widowControl w:val="0"/>
        <w:tabs>
          <w:tab w:val="right" w:leader="middleDot" w:pos="8852"/>
        </w:tabs>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_Toc10746 </w:instrText>
      </w:r>
      <w:r>
        <w:rPr>
          <w:rFonts w:hint="eastAsia" w:ascii="仿宋" w:hAnsi="仿宋" w:eastAsia="仿宋" w:cs="仿宋"/>
          <w:szCs w:val="24"/>
        </w:rPr>
        <w:fldChar w:fldCharType="separate"/>
      </w:r>
      <w:r>
        <w:rPr>
          <w:rFonts w:hint="eastAsia" w:ascii="仿宋" w:hAnsi="仿宋" w:eastAsia="仿宋" w:cs="仿宋"/>
          <w:bCs/>
          <w:szCs w:val="32"/>
          <w:highlight w:val="none"/>
          <w:lang w:bidi="ar"/>
        </w:rPr>
        <w:t>附件：</w:t>
      </w:r>
      <w:r>
        <w:rPr>
          <w:rFonts w:hint="eastAsia" w:ascii="仿宋" w:hAnsi="仿宋" w:eastAsia="仿宋" w:cs="仿宋"/>
          <w:bCs/>
          <w:kern w:val="2"/>
          <w:szCs w:val="32"/>
          <w:highlight w:val="none"/>
          <w:lang w:bidi="ar"/>
        </w:rPr>
        <w:t>绩效评价指标体系框架打分表</w:t>
      </w:r>
      <w:r>
        <w:tab/>
      </w:r>
      <w:r>
        <w:fldChar w:fldCharType="begin"/>
      </w:r>
      <w:r>
        <w:instrText xml:space="preserve"> PAGEREF _Toc10746 \h </w:instrText>
      </w:r>
      <w:r>
        <w:fldChar w:fldCharType="separate"/>
      </w:r>
      <w:r>
        <w:t>2</w:t>
      </w:r>
      <w:r>
        <w:rPr>
          <w:rFonts w:hint="eastAsia"/>
          <w:lang w:val="en-US" w:eastAsia="zh-CN"/>
        </w:rPr>
        <w:t>3</w:t>
      </w:r>
      <w:r>
        <w:fldChar w:fldCharType="end"/>
      </w:r>
      <w:r>
        <w:rPr>
          <w:rFonts w:hint="eastAsia" w:ascii="仿宋" w:hAnsi="仿宋" w:eastAsia="仿宋" w:cs="仿宋"/>
          <w:szCs w:val="24"/>
        </w:rPr>
        <w:fldChar w:fldCharType="end"/>
      </w:r>
    </w:p>
    <w:p w14:paraId="08117E92">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仿宋" w:hAnsi="仿宋" w:eastAsia="仿宋" w:cs="仿宋"/>
          <w:szCs w:val="24"/>
        </w:rPr>
        <w:fldChar w:fldCharType="end"/>
      </w:r>
    </w:p>
    <w:p w14:paraId="681FF830">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14:paraId="40F29D2C">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pPr>
    </w:p>
    <w:p w14:paraId="31757A3B">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微软雅黑" w:hAnsi="微软雅黑" w:eastAsia="微软雅黑" w:cs="微软雅黑"/>
          <w:b w:val="0"/>
          <w:bCs w:val="0"/>
          <w:color w:val="000000"/>
          <w:sz w:val="27"/>
          <w:szCs w:val="27"/>
          <w:highlight w:val="none"/>
          <w:lang w:val="en-US" w:bidi="ar"/>
        </w:rPr>
        <w:sectPr>
          <w:footerReference r:id="rId4"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pPr>
    </w:p>
    <w:p w14:paraId="77D38A77">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lang w:val="en-US" w:eastAsia="zh-CN" w:bidi="ar"/>
        </w:rPr>
      </w:pPr>
      <w:r>
        <w:rPr>
          <w:rFonts w:hint="eastAsia" w:ascii="仿宋" w:hAnsi="仿宋" w:eastAsia="仿宋" w:cs="仿宋"/>
          <w:b/>
          <w:bCs/>
          <w:color w:val="000000"/>
          <w:sz w:val="32"/>
          <w:szCs w:val="32"/>
          <w:highlight w:val="none"/>
          <w:lang w:val="en-US" w:bidi="ar"/>
        </w:rPr>
        <w:t>林芝市</w:t>
      </w:r>
      <w:r>
        <w:rPr>
          <w:rFonts w:hint="eastAsia" w:ascii="仿宋" w:hAnsi="仿宋" w:eastAsia="仿宋" w:cs="仿宋"/>
          <w:b/>
          <w:bCs/>
          <w:color w:val="000000"/>
          <w:sz w:val="32"/>
          <w:szCs w:val="32"/>
          <w:highlight w:val="none"/>
          <w:lang w:val="en-US" w:eastAsia="zh-CN" w:bidi="ar"/>
        </w:rPr>
        <w:t>技工学校（公共职业技能实训基地）</w:t>
      </w:r>
    </w:p>
    <w:p w14:paraId="3DA0715C">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jc w:val="center"/>
        <w:textAlignment w:val="auto"/>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2023年度</w:t>
      </w:r>
      <w:bookmarkStart w:id="3" w:name="_Toc29384"/>
      <w:r>
        <w:rPr>
          <w:rFonts w:hint="eastAsia" w:ascii="仿宋" w:hAnsi="仿宋" w:eastAsia="仿宋" w:cs="仿宋"/>
          <w:b/>
          <w:bCs/>
          <w:sz w:val="32"/>
          <w:szCs w:val="32"/>
          <w:highlight w:val="none"/>
          <w:lang w:bidi="ar"/>
        </w:rPr>
        <w:t>部门整体绩效评价报告</w:t>
      </w:r>
      <w:bookmarkEnd w:id="3"/>
    </w:p>
    <w:p w14:paraId="6BF532B0">
      <w:pPr>
        <w:keepNext w:val="0"/>
        <w:keepLines w:val="0"/>
        <w:pageBreakBefore w:val="0"/>
        <w:widowControl w:val="0"/>
        <w:kinsoku/>
        <w:wordWrap/>
        <w:overflowPunct/>
        <w:topLinePunct w:val="0"/>
        <w:autoSpaceDE/>
        <w:autoSpaceDN/>
        <w:bidi w:val="0"/>
        <w:adjustRightInd/>
        <w:snapToGrid/>
        <w:spacing w:before="165" w:beforeLines="50" w:beforeAutospacing="0" w:after="165" w:afterLines="50" w:afterAutospacing="0" w:line="360" w:lineRule="auto"/>
        <w:ind w:firstLine="0" w:firstLineChars="0"/>
        <w:jc w:val="left"/>
        <w:textAlignment w:val="auto"/>
        <w:outlineLvl w:val="9"/>
        <w:rPr>
          <w:rFonts w:hint="eastAsia" w:ascii="仿宋" w:hAnsi="仿宋" w:eastAsia="仿宋" w:cs="仿宋"/>
          <w:b w:val="0"/>
          <w:bCs w:val="0"/>
          <w:color w:val="000000"/>
          <w:sz w:val="32"/>
          <w:szCs w:val="32"/>
          <w:highlight w:val="none"/>
          <w:lang w:val="en-US"/>
        </w:rPr>
      </w:pPr>
      <w:bookmarkStart w:id="4" w:name="_Toc16748"/>
      <w:r>
        <w:rPr>
          <w:rFonts w:hint="eastAsia" w:ascii="仿宋" w:hAnsi="仿宋" w:eastAsia="仿宋" w:cs="仿宋"/>
          <w:b w:val="0"/>
          <w:bCs w:val="0"/>
          <w:color w:val="000000"/>
          <w:sz w:val="32"/>
          <w:szCs w:val="32"/>
          <w:highlight w:val="none"/>
          <w:lang w:val="en-US"/>
        </w:rPr>
        <w:t>林芝市财政局</w:t>
      </w:r>
      <w:r>
        <w:rPr>
          <w:rFonts w:hint="eastAsia" w:ascii="仿宋" w:hAnsi="仿宋" w:eastAsia="仿宋" w:cs="仿宋"/>
          <w:b w:val="0"/>
          <w:bCs w:val="0"/>
          <w:color w:val="000000"/>
          <w:sz w:val="32"/>
          <w:szCs w:val="32"/>
          <w:highlight w:val="none"/>
          <w:lang w:val="en-US" w:eastAsia="zh-CN"/>
        </w:rPr>
        <w:t>：</w:t>
      </w:r>
      <w:bookmarkEnd w:id="4"/>
    </w:p>
    <w:p w14:paraId="0E2FB818">
      <w:pPr>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jc w:val="left"/>
        <w:textAlignment w:val="auto"/>
        <w:outlineLvl w:val="9"/>
        <w:rPr>
          <w:rFonts w:hint="eastAsia" w:ascii="仿宋" w:hAnsi="仿宋" w:eastAsia="仿宋" w:cs="仿宋"/>
          <w:sz w:val="32"/>
          <w:szCs w:val="32"/>
          <w:highlight w:val="none"/>
          <w:lang w:bidi="ar"/>
        </w:rPr>
      </w:pPr>
      <w:bookmarkStart w:id="5" w:name="_Toc3418"/>
      <w:r>
        <w:rPr>
          <w:rFonts w:hint="eastAsia" w:ascii="仿宋" w:hAnsi="仿宋" w:eastAsia="仿宋" w:cs="仿宋"/>
          <w:b w:val="0"/>
          <w:bCs w:val="0"/>
          <w:color w:val="000000"/>
          <w:sz w:val="32"/>
          <w:szCs w:val="32"/>
          <w:highlight w:val="none"/>
          <w:lang w:val="en-US"/>
        </w:rPr>
        <w:t>我们接受贵单位委托，对林芝市</w:t>
      </w:r>
      <w:r>
        <w:rPr>
          <w:rFonts w:hint="eastAsia" w:ascii="仿宋" w:hAnsi="仿宋" w:eastAsia="仿宋" w:cs="仿宋"/>
          <w:b w:val="0"/>
          <w:bCs w:val="0"/>
          <w:color w:val="000000"/>
          <w:sz w:val="32"/>
          <w:szCs w:val="32"/>
          <w:highlight w:val="none"/>
          <w:lang w:val="en-US" w:eastAsia="zh-CN"/>
        </w:rPr>
        <w:t>技工学校（公共职业技能实训基地）</w:t>
      </w:r>
      <w:r>
        <w:rPr>
          <w:rFonts w:hint="eastAsia" w:ascii="仿宋" w:hAnsi="仿宋" w:eastAsia="仿宋" w:cs="仿宋"/>
          <w:b w:val="0"/>
          <w:bCs w:val="0"/>
          <w:i w:val="0"/>
          <w:iCs w:val="0"/>
          <w:caps w:val="0"/>
          <w:color w:val="000000"/>
          <w:spacing w:val="0"/>
          <w:kern w:val="0"/>
          <w:sz w:val="32"/>
          <w:szCs w:val="32"/>
        </w:rPr>
        <w:t>(以下简称:“</w:t>
      </w:r>
      <w:r>
        <w:rPr>
          <w:rFonts w:hint="eastAsia" w:ascii="仿宋" w:hAnsi="仿宋" w:eastAsia="仿宋" w:cs="仿宋"/>
          <w:b w:val="0"/>
          <w:bCs w:val="0"/>
          <w:i w:val="0"/>
          <w:iCs w:val="0"/>
          <w:caps w:val="0"/>
          <w:color w:val="000000"/>
          <w:spacing w:val="0"/>
          <w:kern w:val="0"/>
          <w:sz w:val="32"/>
          <w:szCs w:val="32"/>
          <w:lang w:val="en-US" w:eastAsia="zh-CN"/>
        </w:rPr>
        <w:t>市</w:t>
      </w:r>
      <w:r>
        <w:rPr>
          <w:rFonts w:hint="eastAsia" w:ascii="仿宋" w:hAnsi="仿宋" w:eastAsia="仿宋" w:cs="仿宋"/>
          <w:b w:val="0"/>
          <w:bCs w:val="0"/>
          <w:color w:val="000000"/>
          <w:sz w:val="32"/>
          <w:szCs w:val="32"/>
          <w:highlight w:val="none"/>
          <w:lang w:val="en-US" w:eastAsia="zh-CN"/>
        </w:rPr>
        <w:t>技工学校</w:t>
      </w:r>
      <w:r>
        <w:rPr>
          <w:rFonts w:hint="eastAsia" w:ascii="仿宋" w:hAnsi="仿宋" w:eastAsia="仿宋" w:cs="仿宋"/>
          <w:b w:val="0"/>
          <w:bCs w:val="0"/>
          <w:i w:val="0"/>
          <w:iCs w:val="0"/>
          <w:caps w:val="0"/>
          <w:color w:val="000000"/>
          <w:spacing w:val="0"/>
          <w:kern w:val="0"/>
          <w:sz w:val="32"/>
          <w:szCs w:val="32"/>
        </w:rPr>
        <w:t>”)</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年1月1日</w:t>
      </w:r>
      <w:r>
        <w:rPr>
          <w:rFonts w:hint="eastAsia" w:ascii="仿宋" w:hAnsi="仿宋" w:eastAsia="仿宋" w:cs="仿宋"/>
          <w:b w:val="0"/>
          <w:bCs w:val="0"/>
          <w:color w:val="000000"/>
          <w:sz w:val="32"/>
          <w:szCs w:val="32"/>
          <w:highlight w:val="none"/>
          <w:lang w:val="en-US" w:eastAsia="zh-CN"/>
        </w:rPr>
        <w:t>至</w:t>
      </w:r>
      <w:r>
        <w:rPr>
          <w:rFonts w:hint="eastAsia" w:ascii="仿宋" w:hAnsi="仿宋" w:eastAsia="仿宋" w:cs="仿宋"/>
          <w:b w:val="0"/>
          <w:bCs w:val="0"/>
          <w:color w:val="000000"/>
          <w:sz w:val="32"/>
          <w:szCs w:val="32"/>
          <w:highlight w:val="none"/>
          <w:lang w:val="en-US"/>
        </w:rPr>
        <w:t>202</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lang w:val="en-US"/>
        </w:rPr>
        <w:t>年12月31日本级财政预算资金整体支出进行绩效评价，</w:t>
      </w:r>
      <w:r>
        <w:rPr>
          <w:rFonts w:hint="eastAsia" w:ascii="仿宋" w:hAnsi="仿宋" w:eastAsia="仿宋" w:cs="仿宋"/>
          <w:b w:val="0"/>
          <w:bCs w:val="0"/>
          <w:i w:val="0"/>
          <w:iCs w:val="0"/>
          <w:caps w:val="0"/>
          <w:color w:val="000000"/>
          <w:spacing w:val="0"/>
          <w:kern w:val="0"/>
          <w:sz w:val="32"/>
          <w:szCs w:val="32"/>
          <w:lang w:val="en-US" w:eastAsia="zh-CN"/>
        </w:rPr>
        <w:t>市</w:t>
      </w:r>
      <w:r>
        <w:rPr>
          <w:rFonts w:hint="eastAsia" w:ascii="仿宋" w:hAnsi="仿宋" w:eastAsia="仿宋" w:cs="仿宋"/>
          <w:b w:val="0"/>
          <w:bCs w:val="0"/>
          <w:color w:val="000000"/>
          <w:sz w:val="32"/>
          <w:szCs w:val="32"/>
          <w:highlight w:val="none"/>
          <w:lang w:val="en-US" w:eastAsia="zh-CN"/>
        </w:rPr>
        <w:t>技工学校</w:t>
      </w:r>
      <w:r>
        <w:rPr>
          <w:rFonts w:hint="eastAsia" w:ascii="仿宋" w:hAnsi="仿宋" w:eastAsia="仿宋" w:cs="仿宋"/>
          <w:b w:val="0"/>
          <w:bCs w:val="0"/>
          <w:color w:val="000000"/>
          <w:sz w:val="32"/>
          <w:szCs w:val="32"/>
          <w:highlight w:val="none"/>
          <w:lang w:val="en-US"/>
        </w:rPr>
        <w:t>对建立健全内部内控制度、提供的会计资料和相关材料证明文件的完整性、真实性、合法性承担责任。依据《中共西自治区委员会西藏自治区人民政府关于全面实施预算绩效管理的实施意见》</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藏党发</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2020</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7号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、财政部《财政支出绩效评价管理暂行办法》</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财预</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2011〕285号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以及《林芝市财政局关于开展 2023 年度部门整体支出、项目支出、财政政策绩效评价工作通知》</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林财预〔202</w:t>
      </w:r>
      <w:r>
        <w:rPr>
          <w:rFonts w:hint="eastAsia" w:ascii="仿宋" w:hAnsi="仿宋" w:eastAsia="仿宋" w:cs="仿宋"/>
          <w:b w:val="0"/>
          <w:bCs w:val="0"/>
          <w:color w:val="000000"/>
          <w:sz w:val="32"/>
          <w:szCs w:val="32"/>
          <w:highlight w:val="none"/>
          <w:lang w:val="en-US" w:eastAsia="zh-CN"/>
        </w:rPr>
        <w:t>4</w:t>
      </w:r>
      <w:r>
        <w:rPr>
          <w:rFonts w:hint="eastAsia" w:ascii="仿宋" w:hAnsi="仿宋" w:eastAsia="仿宋" w:cs="仿宋"/>
          <w:b w:val="0"/>
          <w:bCs w:val="0"/>
          <w:color w:val="000000"/>
          <w:sz w:val="32"/>
          <w:szCs w:val="32"/>
          <w:highlight w:val="none"/>
          <w:lang w:val="en-US"/>
        </w:rPr>
        <w:t>〕</w:t>
      </w:r>
      <w:r>
        <w:rPr>
          <w:rFonts w:hint="eastAsia" w:ascii="仿宋" w:hAnsi="仿宋" w:eastAsia="仿宋" w:cs="仿宋"/>
          <w:b w:val="0"/>
          <w:bCs w:val="0"/>
          <w:color w:val="000000"/>
          <w:sz w:val="32"/>
          <w:szCs w:val="32"/>
          <w:highlight w:val="none"/>
          <w:lang w:val="en-US" w:eastAsia="zh-CN"/>
        </w:rPr>
        <w:t>11</w:t>
      </w:r>
      <w:r>
        <w:rPr>
          <w:rFonts w:hint="eastAsia" w:ascii="仿宋" w:hAnsi="仿宋" w:eastAsia="仿宋" w:cs="仿宋"/>
          <w:b w:val="0"/>
          <w:bCs w:val="0"/>
          <w:color w:val="000000"/>
          <w:sz w:val="32"/>
          <w:szCs w:val="32"/>
          <w:highlight w:val="none"/>
          <w:lang w:val="en-US"/>
        </w:rPr>
        <w:t>号</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rPr>
        <w:t>相关要求，结合</w:t>
      </w:r>
      <w:r>
        <w:rPr>
          <w:rFonts w:hint="eastAsia" w:ascii="仿宋" w:hAnsi="仿宋" w:eastAsia="仿宋" w:cs="仿宋"/>
          <w:b w:val="0"/>
          <w:bCs w:val="0"/>
          <w:i w:val="0"/>
          <w:iCs w:val="0"/>
          <w:caps w:val="0"/>
          <w:color w:val="000000"/>
          <w:spacing w:val="0"/>
          <w:kern w:val="0"/>
          <w:sz w:val="32"/>
          <w:szCs w:val="32"/>
          <w:lang w:val="en-US" w:eastAsia="zh-CN"/>
        </w:rPr>
        <w:t>市</w:t>
      </w:r>
      <w:r>
        <w:rPr>
          <w:rFonts w:hint="eastAsia" w:ascii="仿宋" w:hAnsi="仿宋" w:eastAsia="仿宋" w:cs="仿宋"/>
          <w:b w:val="0"/>
          <w:bCs w:val="0"/>
          <w:color w:val="000000"/>
          <w:sz w:val="32"/>
          <w:szCs w:val="32"/>
          <w:highlight w:val="none"/>
          <w:lang w:val="en-US" w:eastAsia="zh-CN"/>
        </w:rPr>
        <w:t>技工学校</w:t>
      </w:r>
      <w:r>
        <w:rPr>
          <w:rFonts w:hint="eastAsia" w:ascii="仿宋" w:hAnsi="仿宋" w:eastAsia="仿宋" w:cs="仿宋"/>
          <w:b w:val="0"/>
          <w:bCs w:val="0"/>
          <w:color w:val="000000"/>
          <w:sz w:val="32"/>
          <w:szCs w:val="32"/>
          <w:highlight w:val="none"/>
          <w:lang w:val="en-US"/>
        </w:rPr>
        <w:t>的实际情况，我们实施了查阅资料、实地察看、社会调查、检查、询问、计算、分析性复核等评价程序，现将有关情况报告如下</w:t>
      </w:r>
      <w:r>
        <w:rPr>
          <w:rFonts w:hint="eastAsia" w:ascii="仿宋" w:hAnsi="仿宋" w:eastAsia="仿宋" w:cs="仿宋"/>
          <w:b w:val="0"/>
          <w:bCs w:val="0"/>
          <w:color w:val="000000"/>
          <w:sz w:val="32"/>
          <w:szCs w:val="32"/>
          <w:highlight w:val="none"/>
          <w:lang w:val="en-US" w:eastAsia="zh-CN"/>
        </w:rPr>
        <w:t>：</w:t>
      </w:r>
      <w:bookmarkEnd w:id="5"/>
    </w:p>
    <w:p w14:paraId="23C44C81">
      <w:pPr>
        <w:pStyle w:val="9"/>
        <w:keepNext w:val="0"/>
        <w:keepLines w:val="0"/>
        <w:pageBreakBefore w:val="0"/>
        <w:numPr>
          <w:ilvl w:val="0"/>
          <w:numId w:val="1"/>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outlineLvl w:val="0"/>
        <w:rPr>
          <w:rFonts w:hint="eastAsia" w:ascii="仿宋" w:hAnsi="仿宋" w:eastAsia="仿宋" w:cs="仿宋"/>
          <w:b/>
          <w:bCs/>
          <w:sz w:val="32"/>
          <w:szCs w:val="32"/>
          <w:highlight w:val="none"/>
        </w:rPr>
      </w:pPr>
      <w:bookmarkStart w:id="6" w:name="_Toc9416"/>
      <w:r>
        <w:rPr>
          <w:rFonts w:hint="eastAsia" w:ascii="仿宋" w:hAnsi="仿宋" w:eastAsia="仿宋" w:cs="仿宋"/>
          <w:b/>
          <w:bCs/>
          <w:sz w:val="32"/>
          <w:szCs w:val="32"/>
          <w:highlight w:val="none"/>
          <w:lang w:bidi="ar"/>
        </w:rPr>
        <w:t>部门基本情况</w:t>
      </w:r>
      <w:bookmarkEnd w:id="6"/>
    </w:p>
    <w:p w14:paraId="32073496">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482"/>
        <w:textAlignment w:val="auto"/>
        <w:outlineLvl w:val="1"/>
        <w:rPr>
          <w:rFonts w:hint="eastAsia" w:ascii="仿宋" w:hAnsi="仿宋" w:eastAsia="仿宋" w:cs="仿宋"/>
          <w:b/>
          <w:bCs/>
          <w:sz w:val="32"/>
          <w:szCs w:val="32"/>
          <w:highlight w:val="none"/>
        </w:rPr>
      </w:pPr>
      <w:bookmarkStart w:id="7" w:name="_Toc25361"/>
      <w:r>
        <w:rPr>
          <w:rFonts w:hint="eastAsia" w:ascii="仿宋" w:hAnsi="仿宋" w:eastAsia="仿宋" w:cs="仿宋"/>
          <w:b/>
          <w:bCs/>
          <w:sz w:val="32"/>
          <w:szCs w:val="32"/>
          <w:highlight w:val="none"/>
        </w:rPr>
        <w:t>（一）部门主要职能</w:t>
      </w:r>
      <w:bookmarkEnd w:id="7"/>
    </w:p>
    <w:p w14:paraId="756C29D1">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color w:val="000000"/>
          <w:sz w:val="32"/>
          <w:szCs w:val="32"/>
          <w:highlight w:val="none"/>
          <w:lang w:val="en-US"/>
        </w:rPr>
        <w:t>林芝市</w:t>
      </w:r>
      <w:r>
        <w:rPr>
          <w:rFonts w:hint="eastAsia" w:ascii="仿宋" w:hAnsi="仿宋" w:eastAsia="仿宋" w:cs="仿宋"/>
          <w:b w:val="0"/>
          <w:bCs w:val="0"/>
          <w:color w:val="000000"/>
          <w:sz w:val="32"/>
          <w:szCs w:val="32"/>
          <w:highlight w:val="none"/>
          <w:lang w:val="en-US" w:eastAsia="zh-CN"/>
        </w:rPr>
        <w:t>技工学校（公共职业技能实训基地）是</w:t>
      </w:r>
      <w:r>
        <w:rPr>
          <w:rFonts w:hint="eastAsia" w:ascii="仿宋" w:hAnsi="仿宋" w:eastAsia="仿宋" w:cs="仿宋"/>
          <w:b w:val="0"/>
          <w:bCs w:val="0"/>
          <w:i w:val="0"/>
          <w:iCs w:val="0"/>
          <w:caps w:val="0"/>
          <w:color w:val="000000"/>
          <w:spacing w:val="0"/>
          <w:kern w:val="0"/>
          <w:sz w:val="32"/>
          <w:szCs w:val="32"/>
          <w:highlight w:val="none"/>
          <w:lang w:val="en-US" w:eastAsia="zh-CN"/>
        </w:rPr>
        <w:t>全额拨款类事业单位，主要职能是:</w:t>
      </w:r>
    </w:p>
    <w:p w14:paraId="3C9C4D27">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9"/>
        <w:rPr>
          <w:rFonts w:hint="eastAsia" w:ascii="仿宋" w:hAnsi="仿宋" w:eastAsia="仿宋" w:cs="仿宋"/>
          <w:b w:val="0"/>
          <w:bCs w:val="0"/>
          <w:i w:val="0"/>
          <w:iCs w:val="0"/>
          <w:caps w:val="0"/>
          <w:color w:val="000000"/>
          <w:spacing w:val="0"/>
          <w:kern w:val="0"/>
          <w:sz w:val="32"/>
          <w:szCs w:val="32"/>
          <w:highlight w:val="none"/>
          <w:lang w:val="en-US" w:eastAsia="zh-CN"/>
        </w:rPr>
      </w:pPr>
      <w:r>
        <w:rPr>
          <w:rFonts w:hint="eastAsia" w:ascii="仿宋" w:hAnsi="仿宋" w:eastAsia="仿宋" w:cs="仿宋"/>
          <w:b w:val="0"/>
          <w:bCs w:val="0"/>
          <w:i w:val="0"/>
          <w:iCs w:val="0"/>
          <w:caps w:val="0"/>
          <w:color w:val="000000"/>
          <w:spacing w:val="0"/>
          <w:kern w:val="0"/>
          <w:sz w:val="32"/>
          <w:szCs w:val="32"/>
          <w:highlight w:val="none"/>
          <w:lang w:val="en-US" w:eastAsia="zh-CN"/>
        </w:rPr>
        <w:t>承担全日制高、中职业技术教育，创新技工教育人才培养模式，联合企业推行工学结合、校企融合的中、高技能人才培养模式；承担建设面向林芝支柱产业、特色产业和现代服务业的应用型专业，围绕重点发展的产业领域，开发并推广共享型技工教育教学资源库；负责实施农牧民工的技能培训工作；负责开展社会化职业技能培训和鉴定，拓展职业教育领域；负责开展中西部地区联合招生合作办学，促进技能扶贫；承担市人力资源和社会保障局交办的其他工作任务。</w:t>
      </w:r>
    </w:p>
    <w:p w14:paraId="47748A2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8" w:name="_Toc13854"/>
      <w:r>
        <w:rPr>
          <w:rFonts w:hint="eastAsia" w:ascii="仿宋" w:hAnsi="仿宋" w:eastAsia="仿宋" w:cs="仿宋"/>
          <w:b/>
          <w:bCs/>
          <w:sz w:val="32"/>
          <w:szCs w:val="32"/>
          <w:highlight w:val="none"/>
        </w:rPr>
        <w:t>（二）机构设置情况</w:t>
      </w:r>
      <w:bookmarkEnd w:id="8"/>
    </w:p>
    <w:p w14:paraId="3758234D">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sz w:val="32"/>
          <w:szCs w:val="32"/>
          <w:highlight w:val="yellow"/>
        </w:rPr>
      </w:pPr>
      <w:r>
        <w:rPr>
          <w:rFonts w:hint="eastAsia" w:ascii="仿宋" w:hAnsi="仿宋" w:eastAsia="仿宋" w:cs="仿宋"/>
          <w:b w:val="0"/>
          <w:bCs w:val="0"/>
          <w:i w:val="0"/>
          <w:iCs w:val="0"/>
          <w:caps w:val="0"/>
          <w:color w:val="000000"/>
          <w:spacing w:val="0"/>
          <w:kern w:val="0"/>
          <w:sz w:val="32"/>
          <w:szCs w:val="32"/>
          <w:highlight w:val="none"/>
          <w:lang w:val="en-US" w:eastAsia="zh-CN"/>
        </w:rPr>
        <w:t>部门内设10各机构，分别是办公室</w:t>
      </w:r>
      <w:r>
        <w:rPr>
          <w:rFonts w:hint="eastAsia" w:ascii="仿宋" w:hAnsi="仿宋" w:eastAsia="仿宋" w:cs="仿宋"/>
          <w:b w:val="0"/>
          <w:bCs w:val="0"/>
          <w:i w:val="0"/>
          <w:iCs w:val="0"/>
          <w:caps w:val="0"/>
          <w:color w:val="000000"/>
          <w:spacing w:val="0"/>
          <w:kern w:val="0"/>
          <w:sz w:val="32"/>
          <w:szCs w:val="32"/>
          <w:highlight w:val="none"/>
          <w:lang w:eastAsia="zh-CN"/>
        </w:rPr>
        <w:t>、</w:t>
      </w:r>
      <w:r>
        <w:rPr>
          <w:rFonts w:hint="eastAsia" w:ascii="仿宋" w:hAnsi="仿宋" w:eastAsia="仿宋" w:cs="仿宋"/>
          <w:b w:val="0"/>
          <w:bCs w:val="0"/>
          <w:i w:val="0"/>
          <w:iCs w:val="0"/>
          <w:caps w:val="0"/>
          <w:color w:val="000000"/>
          <w:spacing w:val="0"/>
          <w:kern w:val="0"/>
          <w:sz w:val="32"/>
          <w:szCs w:val="32"/>
          <w:highlight w:val="none"/>
          <w:lang w:val="en-US" w:eastAsia="zh-CN"/>
        </w:rPr>
        <w:t>教务科、学生管理科、总务科、招生就业与培训科、教研督导室、交通基建系、旅游文化系、现代服务系、思政与公共基础部。</w:t>
      </w:r>
    </w:p>
    <w:p w14:paraId="50846D8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9" w:name="_Toc11117"/>
      <w:r>
        <w:rPr>
          <w:rFonts w:hint="eastAsia" w:ascii="仿宋" w:hAnsi="仿宋" w:eastAsia="仿宋" w:cs="仿宋"/>
          <w:b/>
          <w:bCs/>
          <w:sz w:val="32"/>
          <w:szCs w:val="32"/>
          <w:highlight w:val="none"/>
        </w:rPr>
        <w:t>（三）人员编制情况</w:t>
      </w:r>
      <w:bookmarkEnd w:id="9"/>
    </w:p>
    <w:p w14:paraId="455FDBEC">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yellow"/>
          <w:lang w:val="en-US" w:eastAsia="zh-CN"/>
        </w:rPr>
      </w:pPr>
      <w:r>
        <w:rPr>
          <w:rFonts w:hint="eastAsia" w:ascii="仿宋" w:hAnsi="仿宋" w:eastAsia="仿宋" w:cs="仿宋"/>
          <w:bCs w:val="0"/>
          <w:color w:val="000000"/>
          <w:kern w:val="0"/>
          <w:sz w:val="32"/>
          <w:szCs w:val="32"/>
          <w:highlight w:val="none"/>
          <w:lang w:val="en-US" w:eastAsia="zh-CN"/>
        </w:rPr>
        <w:t>截至2023年</w:t>
      </w:r>
      <w:r>
        <w:rPr>
          <w:rFonts w:hint="eastAsia" w:ascii="仿宋" w:hAnsi="仿宋" w:eastAsia="仿宋" w:cs="仿宋"/>
          <w:color w:val="000000"/>
          <w:kern w:val="0"/>
          <w:sz w:val="32"/>
          <w:szCs w:val="32"/>
          <w:highlight w:val="none"/>
          <w:lang w:val="en-US" w:eastAsia="zh-CN"/>
        </w:rPr>
        <w:t>12月31日，</w:t>
      </w:r>
      <w:r>
        <w:rPr>
          <w:rFonts w:hint="eastAsia" w:ascii="仿宋" w:hAnsi="仿宋" w:eastAsia="仿宋" w:cs="仿宋"/>
          <w:b w:val="0"/>
          <w:bCs w:val="0"/>
          <w:i w:val="0"/>
          <w:iCs w:val="0"/>
          <w:caps w:val="0"/>
          <w:color w:val="000000"/>
          <w:spacing w:val="0"/>
          <w:kern w:val="0"/>
          <w:sz w:val="32"/>
          <w:szCs w:val="32"/>
          <w:lang w:val="en-US" w:eastAsia="zh-CN"/>
        </w:rPr>
        <w:t>林芝市</w:t>
      </w:r>
      <w:r>
        <w:rPr>
          <w:rFonts w:hint="eastAsia" w:ascii="仿宋" w:hAnsi="仿宋" w:eastAsia="仿宋" w:cs="仿宋"/>
          <w:b w:val="0"/>
          <w:bCs w:val="0"/>
          <w:color w:val="000000"/>
          <w:sz w:val="32"/>
          <w:szCs w:val="32"/>
          <w:highlight w:val="none"/>
          <w:lang w:val="en-US" w:eastAsia="zh-CN"/>
        </w:rPr>
        <w:t>技工学校（公共职业技能实训基地）核定</w:t>
      </w:r>
      <w:r>
        <w:rPr>
          <w:rFonts w:hint="eastAsia" w:ascii="仿宋" w:hAnsi="仿宋" w:eastAsia="仿宋" w:cs="仿宋"/>
          <w:b w:val="0"/>
          <w:bCs w:val="0"/>
          <w:i w:val="0"/>
          <w:iCs w:val="0"/>
          <w:caps w:val="0"/>
          <w:color w:val="000000"/>
          <w:spacing w:val="0"/>
          <w:kern w:val="0"/>
          <w:sz w:val="32"/>
          <w:szCs w:val="32"/>
          <w:lang w:val="en-US" w:eastAsia="zh-CN"/>
        </w:rPr>
        <w:t>编制为7名</w:t>
      </w:r>
      <w:r>
        <w:rPr>
          <w:rFonts w:hint="eastAsia" w:ascii="仿宋" w:hAnsi="仿宋" w:eastAsia="仿宋" w:cs="仿宋"/>
          <w:b w:val="0"/>
          <w:bCs w:val="0"/>
          <w:i w:val="0"/>
          <w:iCs w:val="0"/>
          <w:caps w:val="0"/>
          <w:color w:val="000000"/>
          <w:spacing w:val="0"/>
          <w:kern w:val="0"/>
          <w:sz w:val="32"/>
          <w:szCs w:val="32"/>
          <w:highlight w:val="none"/>
          <w:lang w:val="en-US" w:eastAsia="zh-CN"/>
        </w:rPr>
        <w:t>，实际在职职工人数7人。</w:t>
      </w:r>
    </w:p>
    <w:p w14:paraId="0F9A6E74">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outlineLvl w:val="1"/>
        <w:rPr>
          <w:rFonts w:hint="eastAsia" w:ascii="仿宋" w:hAnsi="仿宋" w:eastAsia="仿宋" w:cs="仿宋"/>
          <w:b/>
          <w:bCs/>
          <w:sz w:val="32"/>
          <w:szCs w:val="32"/>
          <w:highlight w:val="none"/>
        </w:rPr>
      </w:pPr>
      <w:bookmarkStart w:id="10" w:name="_Toc30604"/>
      <w:r>
        <w:rPr>
          <w:rFonts w:hint="eastAsia" w:ascii="仿宋" w:hAnsi="仿宋" w:eastAsia="仿宋" w:cs="仿宋"/>
          <w:b/>
          <w:bCs/>
          <w:sz w:val="32"/>
          <w:szCs w:val="32"/>
          <w:highlight w:val="none"/>
        </w:rPr>
        <w:t>（四）年度总体工作和重点工作任务</w:t>
      </w:r>
      <w:bookmarkEnd w:id="10"/>
    </w:p>
    <w:p w14:paraId="052F74B3">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1.年度总体工作</w:t>
      </w:r>
    </w:p>
    <w:p w14:paraId="0AD0F45E">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Cs w:val="0"/>
          <w:color w:val="000000"/>
          <w:kern w:val="0"/>
          <w:sz w:val="32"/>
          <w:szCs w:val="32"/>
          <w:highlight w:val="none"/>
          <w:lang w:val="en-US" w:eastAsia="zh-CN"/>
        </w:rPr>
      </w:pPr>
      <w:r>
        <w:rPr>
          <w:rFonts w:hint="eastAsia" w:ascii="仿宋" w:hAnsi="仿宋" w:eastAsia="仿宋" w:cs="仿宋"/>
          <w:bCs w:val="0"/>
          <w:color w:val="000000"/>
          <w:kern w:val="0"/>
          <w:sz w:val="32"/>
          <w:szCs w:val="32"/>
          <w:highlight w:val="none"/>
          <w:lang w:val="en-US" w:eastAsia="zh-CN"/>
        </w:rPr>
        <w:t>2023年，在第十批广东援藏队的坚强支持下，在局党组的正确领导下，技工学校全体教职工凝心聚力，踔厉奋发，以建设西藏技工教育创新发展先行区、“高原工匠”培养示范区为目标，以推动学校高质量内涵发展为抓手，紧紧围绕全市“11364”发展思路，助力林芝打造全区改革开放先行区和中国式现代化西藏篇章模范区。</w:t>
      </w:r>
    </w:p>
    <w:p w14:paraId="0EC4647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2.重点工作任务</w:t>
      </w:r>
    </w:p>
    <w:p w14:paraId="725A35DB">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组织建设和队伍管理方面。学校以铸牢中华民族共同体意识为主线，以落实新时代组织路线为中心，以开展主题教育为切入点，围绕重点工作，扎实推进政治、思想、组织、作风和纪律建设，充分发挥基层党组织战斗堡垒作用。党建引领坚强有力。学校党支部通过加强自身建设，充分发挥基层党组织战斗堡垒作用，坚持党建带校建、党建带团建，始终为学校发展把航定向，把稳立德树人总任务和为培养社会主义新时代的建设者和接班人这个总方向，截至目前，召开集体学习会24 次。深入贯彻落实主题党日制度，突出把握重点环节,他主题党日真正成为党员“学习日”“议事日”“奉献日”。</w:t>
      </w:r>
    </w:p>
    <w:p w14:paraId="6E1D7F7F">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教育教学工作提质增效。一是优化课程设置。根据市场需求和行业发展，及时调整和优化课程设置，确保教学内容与实际需求紧密结合，提高人才培养的针对性和有效性;二是强化实践教学。新增设了两个机房实训室和一个铁路客运实训室，加大了实践教学的比重，提高学生的实际操作能力。三是推进校企合作。加强与企业的深度合作，今年学校与海澜航空、易贡茶场等企业签订了校企合作协议，共同探索制定人才培养方案，实现校企资源的共享和优势互补。四是加强政校合作。不断加强与政府的合作关系，与肇庆高新区劳动和社会保障局签订了政校合作协议，促进政府和学校之间的协同发展，提高人才培养质量和就业率，推动经济社会的发展。五是丰富校园生活。通过社团展示、社团文化节、社团义务劳动等，有序开展社团相关活动，不仅丰富了校园生活，也为学生提供了更多参与展示自己的机会，促进学生的全面发展，营造了班风促学生、学风带校风的良好文化氛围。</w:t>
      </w:r>
    </w:p>
    <w:p w14:paraId="7FA04897">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人才培养力度不断增强。学校始终把人才培养作为实现学校高质量发展的关键一环，坚持“走出去”培养人才，让师生在锻炼中成长，在学习中进步。根据市委组织部“双百计划”专项外派人才培养方案，于今年5月选派1名干部到广东省国防科技技师学院跟岗学习3个月，进一步提升学校本地干部综合水平。为进一步提升学校师生专业技能和实践动手能力，开拓视野，充分发挥广东技能援藏优势，学校组织了8名优秀学生和2名专业教师参加“广东藏汉交流”学习活动，加强藏汉师生交流，增进粤藏两地友谊。</w:t>
      </w:r>
    </w:p>
    <w:p w14:paraId="368414FC">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(4)在从严治党和廉政建设方面。学校党支部认真贯彻落实中央八项规定精神及自治区、市委相关规定，不断加强作风建设，坚决反对形式主义、官僚主义和奢靡之风，不断完善制度建设。开展林芝市高级技工学校 2023年纪律教育活动，开展“党史及二十大知识测试”、“签订干部职工“八小时”之外活动承诺书”、“签订干部职工不信仰宗教承诺书”、“签订廉洁从教承诺书”、“观看一批廉政教育片”活动，推动学校党支部从严治党向纵深发展。</w:t>
      </w:r>
    </w:p>
    <w:p w14:paraId="766D9441">
      <w:pPr>
        <w:keepNext w:val="0"/>
        <w:keepLines w:val="0"/>
        <w:pageBreakBefore w:val="0"/>
        <w:widowControl w:val="0"/>
        <w:kinsoku/>
        <w:wordWrap/>
        <w:overflowPunct/>
        <w:topLinePunct w:val="0"/>
        <w:autoSpaceDE/>
        <w:autoSpaceDN/>
        <w:bidi w:val="0"/>
        <w:adjustRightInd/>
        <w:snapToGrid/>
        <w:ind w:firstLine="482"/>
        <w:textAlignment w:val="auto"/>
        <w:outlineLvl w:val="1"/>
        <w:rPr>
          <w:rFonts w:hint="eastAsia" w:ascii="仿宋" w:hAnsi="仿宋" w:eastAsia="仿宋" w:cs="仿宋"/>
          <w:b/>
          <w:bCs/>
          <w:sz w:val="32"/>
          <w:szCs w:val="32"/>
          <w:highlight w:val="none"/>
        </w:rPr>
      </w:pPr>
      <w:bookmarkStart w:id="11" w:name="_Toc26813"/>
      <w:r>
        <w:rPr>
          <w:rFonts w:hint="eastAsia" w:ascii="仿宋" w:hAnsi="仿宋" w:eastAsia="仿宋" w:cs="仿宋"/>
          <w:b/>
          <w:bCs/>
          <w:sz w:val="32"/>
          <w:szCs w:val="32"/>
          <w:highlight w:val="none"/>
        </w:rPr>
        <w:t>（五）部门预算批复及整体支出安排情况</w:t>
      </w:r>
      <w:bookmarkEnd w:id="11"/>
    </w:p>
    <w:p w14:paraId="74111FF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1.预算批复情况</w:t>
      </w:r>
    </w:p>
    <w:p w14:paraId="1AA36E41">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rPr>
        <w:t>年初预算数1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479.</w:t>
      </w:r>
      <w:r>
        <w:rPr>
          <w:rFonts w:hint="eastAsia" w:ascii="仿宋" w:hAnsi="仿宋" w:eastAsia="仿宋" w:cs="仿宋"/>
          <w:sz w:val="32"/>
          <w:szCs w:val="32"/>
          <w:highlight w:val="none"/>
          <w:lang w:val="en-US" w:eastAsia="zh-CN"/>
        </w:rPr>
        <w:t>69万</w:t>
      </w:r>
      <w:r>
        <w:rPr>
          <w:rFonts w:hint="eastAsia" w:ascii="仿宋" w:hAnsi="仿宋" w:eastAsia="仿宋" w:cs="仿宋"/>
          <w:sz w:val="32"/>
          <w:szCs w:val="32"/>
          <w:highlight w:val="none"/>
        </w:rPr>
        <w:t>元，综合</w:t>
      </w:r>
      <w:r>
        <w:rPr>
          <w:rFonts w:hint="eastAsia" w:ascii="仿宋" w:hAnsi="仿宋" w:eastAsia="仿宋" w:cs="仿宋"/>
          <w:sz w:val="32"/>
          <w:szCs w:val="32"/>
          <w:highlight w:val="none"/>
          <w:lang w:val="en-US" w:eastAsia="zh-CN"/>
        </w:rPr>
        <w:t>调整后调增数额为97.13万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调整后全年预算金额为1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576.82</w:t>
      </w:r>
      <w:r>
        <w:rPr>
          <w:rFonts w:hint="eastAsia" w:ascii="仿宋" w:hAnsi="仿宋" w:eastAsia="仿宋" w:cs="仿宋"/>
          <w:sz w:val="32"/>
          <w:szCs w:val="32"/>
          <w:highlight w:val="none"/>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 xml:space="preserve">其中：一般公共预算 </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576.82</w:t>
      </w:r>
      <w:r>
        <w:rPr>
          <w:rFonts w:hint="eastAsia" w:ascii="仿宋" w:hAnsi="仿宋" w:eastAsia="仿宋" w:cs="仿宋"/>
          <w:sz w:val="32"/>
          <w:szCs w:val="32"/>
          <w:highlight w:val="none"/>
          <w:lang w:val="en-US" w:eastAsia="zh-CN"/>
        </w:rPr>
        <w:t>万元、政府性基金预算0.00万元、国有资本经营预算0.00万元。</w:t>
      </w:r>
    </w:p>
    <w:p w14:paraId="41F2F41B">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2.决算情况</w:t>
      </w:r>
    </w:p>
    <w:p w14:paraId="51D39F07">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rPr>
        <w:t>决算数为1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483.72</w:t>
      </w:r>
      <w:r>
        <w:rPr>
          <w:rFonts w:hint="eastAsia" w:ascii="仿宋" w:hAnsi="仿宋" w:eastAsia="仿宋" w:cs="仿宋"/>
          <w:sz w:val="32"/>
          <w:szCs w:val="32"/>
          <w:highlight w:val="none"/>
          <w:lang w:val="en-US" w:eastAsia="zh-CN"/>
        </w:rPr>
        <w:t>万</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其中：基本支出金额为370.43万元，项目支出金额为1,113.29万元。</w:t>
      </w:r>
    </w:p>
    <w:p w14:paraId="7296827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2" w:name="_Toc18283"/>
      <w:r>
        <w:rPr>
          <w:rFonts w:hint="eastAsia" w:ascii="仿宋" w:hAnsi="仿宋" w:eastAsia="仿宋" w:cs="仿宋"/>
          <w:b/>
          <w:bCs/>
          <w:sz w:val="32"/>
          <w:szCs w:val="32"/>
          <w:highlight w:val="none"/>
          <w:lang w:bidi="ar"/>
        </w:rPr>
        <w:t>二、绩效评价工作开展情况</w:t>
      </w:r>
      <w:bookmarkEnd w:id="12"/>
    </w:p>
    <w:p w14:paraId="687CC1BD">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3" w:name="_Toc15312"/>
      <w:r>
        <w:rPr>
          <w:rFonts w:hint="eastAsia" w:ascii="仿宋" w:hAnsi="仿宋" w:eastAsia="仿宋" w:cs="仿宋"/>
          <w:b/>
          <w:bCs/>
          <w:sz w:val="32"/>
          <w:szCs w:val="32"/>
          <w:highlight w:val="none"/>
          <w:lang w:bidi="ar"/>
        </w:rPr>
        <w:t>（一）绩效评价目的、对象和范围</w:t>
      </w:r>
      <w:bookmarkEnd w:id="13"/>
    </w:p>
    <w:p w14:paraId="3318DCF4">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sz w:val="32"/>
          <w:szCs w:val="32"/>
          <w:highlight w:val="none"/>
          <w:lang w:val="en"/>
        </w:rPr>
      </w:pPr>
      <w:r>
        <w:rPr>
          <w:rFonts w:hint="eastAsia" w:ascii="仿宋" w:hAnsi="仿宋" w:eastAsia="仿宋" w:cs="仿宋"/>
          <w:b/>
          <w:bCs/>
          <w:sz w:val="32"/>
          <w:szCs w:val="32"/>
          <w:highlight w:val="none"/>
          <w:lang w:bidi="ar"/>
        </w:rPr>
        <w:t xml:space="preserve"> </w:t>
      </w:r>
      <w:r>
        <w:rPr>
          <w:rFonts w:hint="eastAsia" w:ascii="仿宋" w:hAnsi="仿宋" w:eastAsia="仿宋" w:cs="仿宋"/>
          <w:sz w:val="32"/>
          <w:szCs w:val="32"/>
          <w:highlight w:val="none"/>
          <w:lang w:val="en"/>
        </w:rPr>
        <w:t>1.评价目的</w:t>
      </w:r>
    </w:p>
    <w:p w14:paraId="148EAB2C">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
        </w:rPr>
      </w:pPr>
      <w:r>
        <w:rPr>
          <w:rFonts w:hint="eastAsia" w:ascii="仿宋" w:hAnsi="仿宋" w:eastAsia="仿宋" w:cs="仿宋"/>
          <w:sz w:val="32"/>
          <w:szCs w:val="32"/>
          <w:highlight w:val="none"/>
          <w:lang w:val="en"/>
        </w:rPr>
        <w:t>本次评价根据《中共中央、国务院关于全面实施预算绩效管理的意见》（中发〔2018〕34 号）、西藏自治区人民政府《关于全面实施预算绩效管理的实施意见》（藏党发〔2020〕7号）部署的要求，以预算资金为主线，梳理部门预算执行过程中涉及的目标管理、预算管理、资产管理等内容，综合分析部门的管理效率，落实部门预算主体责任，提高部门资金、资产等资源统筹配置能力；以战略目标和职责目标为基础，综合评价部门履职结果，反映财政资金支出结果，提升部门整体预算绩效管理水平。</w:t>
      </w:r>
    </w:p>
    <w:p w14:paraId="051CE5A3">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2.评价对象和范围</w:t>
      </w:r>
    </w:p>
    <w:p w14:paraId="4128C123">
      <w:pPr>
        <w:pStyle w:val="4"/>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b/>
          <w:bCs/>
          <w:sz w:val="32"/>
          <w:szCs w:val="32"/>
          <w:highlight w:val="none"/>
          <w:lang w:val="en"/>
        </w:rPr>
      </w:pPr>
      <w:r>
        <w:rPr>
          <w:rFonts w:hint="eastAsia" w:ascii="仿宋" w:hAnsi="仿宋" w:eastAsia="仿宋" w:cs="仿宋"/>
          <w:sz w:val="32"/>
          <w:szCs w:val="32"/>
          <w:highlight w:val="none"/>
          <w:lang w:val="en"/>
        </w:rPr>
        <w:t>本次评价对象为</w:t>
      </w: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lang w:val="en"/>
        </w:rPr>
        <w:t>，预算资金</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576.</w:t>
      </w:r>
      <w:r>
        <w:rPr>
          <w:rFonts w:hint="eastAsia" w:ascii="仿宋" w:hAnsi="仿宋" w:eastAsia="仿宋" w:cs="仿宋"/>
          <w:sz w:val="32"/>
          <w:szCs w:val="32"/>
          <w:highlight w:val="none"/>
          <w:lang w:val="en-US" w:eastAsia="zh-CN"/>
        </w:rPr>
        <w:t>82万</w:t>
      </w:r>
      <w:r>
        <w:rPr>
          <w:rFonts w:hint="eastAsia" w:ascii="仿宋" w:hAnsi="仿宋" w:eastAsia="仿宋" w:cs="仿宋"/>
          <w:sz w:val="32"/>
          <w:szCs w:val="32"/>
          <w:highlight w:val="none"/>
          <w:lang w:val="en" w:eastAsia="zh-CN"/>
        </w:rPr>
        <w:t>元。评</w:t>
      </w:r>
      <w:r>
        <w:rPr>
          <w:rFonts w:hint="eastAsia" w:ascii="仿宋" w:hAnsi="仿宋" w:eastAsia="仿宋" w:cs="仿宋"/>
          <w:sz w:val="32"/>
          <w:szCs w:val="32"/>
          <w:highlight w:val="none"/>
          <w:lang w:val="en"/>
        </w:rPr>
        <w:t>价时间范围：202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年1月1日至 202</w:t>
      </w:r>
      <w:r>
        <w:rPr>
          <w:rFonts w:hint="eastAsia" w:ascii="仿宋" w:hAnsi="仿宋" w:eastAsia="仿宋" w:cs="仿宋"/>
          <w:sz w:val="32"/>
          <w:szCs w:val="32"/>
          <w:highlight w:val="none"/>
        </w:rPr>
        <w:t>3</w:t>
      </w:r>
      <w:r>
        <w:rPr>
          <w:rFonts w:hint="eastAsia" w:ascii="仿宋" w:hAnsi="仿宋" w:eastAsia="仿宋" w:cs="仿宋"/>
          <w:sz w:val="32"/>
          <w:szCs w:val="32"/>
          <w:highlight w:val="none"/>
          <w:lang w:val="en"/>
        </w:rPr>
        <w:t xml:space="preserve"> 年12月31日。</w:t>
      </w:r>
    </w:p>
    <w:p w14:paraId="316AF808">
      <w:pPr>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4" w:name="_Toc2914"/>
      <w:bookmarkStart w:id="15" w:name="_Toc4468"/>
      <w:bookmarkStart w:id="16" w:name="_Toc30657"/>
      <w:r>
        <w:rPr>
          <w:rFonts w:hint="eastAsia" w:ascii="仿宋" w:hAnsi="仿宋" w:eastAsia="仿宋" w:cs="仿宋"/>
          <w:b/>
          <w:bCs/>
          <w:sz w:val="32"/>
          <w:szCs w:val="32"/>
          <w:highlight w:val="none"/>
          <w:lang w:val="en"/>
        </w:rPr>
        <w:t>（</w:t>
      </w:r>
      <w:r>
        <w:rPr>
          <w:rFonts w:hint="eastAsia" w:ascii="仿宋" w:hAnsi="仿宋" w:eastAsia="仿宋" w:cs="仿宋"/>
          <w:b/>
          <w:bCs/>
          <w:sz w:val="32"/>
          <w:szCs w:val="32"/>
          <w:highlight w:val="none"/>
        </w:rPr>
        <w:t>二）</w:t>
      </w:r>
      <w:r>
        <w:rPr>
          <w:rFonts w:hint="eastAsia" w:ascii="仿宋" w:hAnsi="仿宋" w:eastAsia="仿宋" w:cs="仿宋"/>
          <w:b/>
          <w:bCs/>
          <w:sz w:val="32"/>
          <w:szCs w:val="32"/>
          <w:highlight w:val="none"/>
          <w:lang w:val="en-US" w:eastAsia="zh-CN"/>
        </w:rPr>
        <w:t>评价依据、</w:t>
      </w:r>
      <w:r>
        <w:rPr>
          <w:rFonts w:hint="eastAsia" w:ascii="仿宋" w:hAnsi="仿宋" w:eastAsia="仿宋" w:cs="仿宋"/>
          <w:b/>
          <w:bCs/>
          <w:sz w:val="32"/>
          <w:szCs w:val="32"/>
          <w:highlight w:val="none"/>
          <w:lang w:val="en"/>
        </w:rPr>
        <w:t>绩效评价原则、评价方法、评价标准、评价指标体系</w:t>
      </w:r>
      <w:bookmarkEnd w:id="14"/>
      <w:bookmarkEnd w:id="15"/>
      <w:bookmarkEnd w:id="16"/>
    </w:p>
    <w:p w14:paraId="75AF189B">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评价依据</w:t>
      </w:r>
    </w:p>
    <w:p w14:paraId="689AC3C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(1)《中华人民共和国预算法》</w:t>
      </w:r>
    </w:p>
    <w:p w14:paraId="36A69308">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(2)《中华人民共和国预算法实施条例》</w:t>
      </w:r>
    </w:p>
    <w:p w14:paraId="47170B1D">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(3)《中共中央国务院关于全面实施预算绩效管理的意见》（中发〔2018〕34号）</w:t>
      </w:r>
    </w:p>
    <w:p w14:paraId="25EAAD8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(4)《国务院办公厅关于政府向社会力量购买服务的指导意见》（国办发〔2013〕96号）</w:t>
      </w:r>
    </w:p>
    <w:p w14:paraId="352D0747">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(5)《财政支出绩效评价管理暂行办法》（财预〔2011〕285号）</w:t>
      </w:r>
    </w:p>
    <w:p w14:paraId="715F10C0">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(6)《中共西藏自治区委员会西藏自治区人民政府关于全面实施预算绩效管理的实施意见》（藏党发〔2020〕7号）</w:t>
      </w:r>
    </w:p>
    <w:p w14:paraId="100E1CB2">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(7)《西藏自治区财政支出预算绩效评价管理暂行办法》（藏财预字〔2018〕89号）</w:t>
      </w:r>
    </w:p>
    <w:p w14:paraId="1665BE7C">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(8)《西藏自治区预算绩效评价指标体系框架》（藏财预〔2018〕174号）</w:t>
      </w:r>
    </w:p>
    <w:p w14:paraId="0CA79CCB">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(9)其他相关法律法规。</w:t>
      </w:r>
    </w:p>
    <w:p w14:paraId="1C7646D1">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评价原则</w:t>
      </w:r>
    </w:p>
    <w:p w14:paraId="21441BA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科学规范原则。绩效评价应当严格执行国家、自治区规定的程序、按照科学可行的要求执行。</w:t>
      </w:r>
    </w:p>
    <w:p w14:paraId="6DAAB7DE">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客观公正原则。绩效评价应当符合真实、客观、公正的要求，做到指标科学、标准客观、权重合理、数据准确、资料可靠、程序规范、评价公正，绩效评价报告要内容完整、依据充分、分析透彻、逻辑清晰、客观公正。</w:t>
      </w:r>
    </w:p>
    <w:p w14:paraId="7E1154F1">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绩效相关原则。绩效评价应当针对具体支出及其产出绩效进行，评价指标与支出目标具有直接的联系，评价结果能够清晰反映支出和产出绩效之间的紧密对应关系。</w:t>
      </w:r>
    </w:p>
    <w:p w14:paraId="31C582D2">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.评价方法</w:t>
      </w:r>
    </w:p>
    <w:p w14:paraId="799BDF95">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确保评价过程、结论的科学与准确性，根据评价工作需要及部门特点，评价工作中主要采用包括比较法、因素分析法、公众评价法和其他评价方法等，以充分采集和核实评价所需要的基础数据资料，进行科学的分析处理，得出评价结论。</w:t>
      </w:r>
    </w:p>
    <w:p w14:paraId="40B75E0A">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.评价标准</w:t>
      </w:r>
    </w:p>
    <w:p w14:paraId="31EFB8DC">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本次绩效评价采用的评价标准主要为：</w:t>
      </w:r>
    </w:p>
    <w:p w14:paraId="29E939E2">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（1）计划标准，本次评价中部分产出指标采用计划标准作为评价标准，计划标准来源于部门中长期发展规划、部门重点工作任务计划。</w:t>
      </w:r>
    </w:p>
    <w:p w14:paraId="5702CF4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（2）历史标准，在本次评价中部分效益指标采用历史标准作为评价标准，历史标准来源于以前年度相关数据统计。</w:t>
      </w:r>
    </w:p>
    <w:p w14:paraId="066C0D3F">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（3）行业标准。本次评价将</w:t>
      </w: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rPr>
        <w:t>履职目标要求作为行业标准参考。</w:t>
      </w:r>
    </w:p>
    <w:p w14:paraId="47D96A36">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（4）其他标准。财政部等相关部门认可的其他标准。本次评价中决策及过程指标采用其他标准。</w:t>
      </w:r>
    </w:p>
    <w:p w14:paraId="1A1E505A">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.评价指标体系</w:t>
      </w:r>
    </w:p>
    <w:p w14:paraId="6AA32999">
      <w:pPr>
        <w:pStyle w:val="4"/>
        <w:keepNext w:val="0"/>
        <w:keepLines w:val="0"/>
        <w:pageBreakBefore w:val="0"/>
        <w:tabs>
          <w:tab w:val="left" w:pos="0"/>
        </w:tabs>
        <w:kinsoku/>
        <w:wordWrap/>
        <w:overflowPunct/>
        <w:topLinePunct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本次评价以《中共中央国务院关于全面实施预算绩效管理的意见》（中发〔2018〕34 号）要求为基础，构建“以部门规划、运行成本、基础管理、资产管理、预算管理等共性指标评价部门管理效率，以履职效能、社会效益、可持续发展能力、服务对象满意等个性指标评价部门履职结果”的评价体系框架。</w:t>
      </w:r>
    </w:p>
    <w:p w14:paraId="27E8C66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color w:val="000000"/>
          <w:sz w:val="32"/>
          <w:szCs w:val="32"/>
          <w:highlight w:val="none"/>
        </w:rPr>
      </w:pPr>
      <w:r>
        <w:rPr>
          <w:rFonts w:hint="eastAsia" w:ascii="仿宋" w:hAnsi="仿宋" w:eastAsia="仿宋" w:cs="仿宋"/>
          <w:sz w:val="32"/>
          <w:szCs w:val="32"/>
          <w:highlight w:val="none"/>
          <w:lang w:val="zh-CN"/>
        </w:rPr>
        <w:t xml:space="preserve">绩效评价结果量化为百分制综合评分，并按照综合评分进行分级。综合评分为 90 分（含）以上的为“优”，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 xml:space="preserve">分（含）至 90 分的为“良”，60 分（含）至 </w:t>
      </w:r>
      <w:r>
        <w:rPr>
          <w:rFonts w:hint="eastAsia" w:ascii="仿宋" w:hAnsi="仿宋" w:eastAsia="仿宋" w:cs="仿宋"/>
          <w:sz w:val="32"/>
          <w:szCs w:val="32"/>
          <w:highlight w:val="none"/>
        </w:rPr>
        <w:t>75</w:t>
      </w:r>
      <w:r>
        <w:rPr>
          <w:rFonts w:hint="eastAsia" w:ascii="仿宋" w:hAnsi="仿宋" w:eastAsia="仿宋" w:cs="仿宋"/>
          <w:sz w:val="32"/>
          <w:szCs w:val="32"/>
          <w:highlight w:val="none"/>
          <w:lang w:val="zh-CN"/>
        </w:rPr>
        <w:t>分的为“中”，60分以下的为“差”</w:t>
      </w:r>
      <w:r>
        <w:rPr>
          <w:rFonts w:hint="eastAsia" w:ascii="仿宋" w:hAnsi="仿宋" w:eastAsia="仿宋" w:cs="仿宋"/>
          <w:color w:val="000000"/>
          <w:sz w:val="32"/>
          <w:szCs w:val="32"/>
          <w:highlight w:val="none"/>
          <w:lang w:bidi="ar"/>
        </w:rPr>
        <w:t>。</w:t>
      </w:r>
    </w:p>
    <w:p w14:paraId="5FB2D57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17" w:name="_Toc22845"/>
      <w:r>
        <w:rPr>
          <w:rFonts w:hint="eastAsia" w:ascii="仿宋" w:hAnsi="仿宋" w:eastAsia="仿宋" w:cs="仿宋"/>
          <w:b/>
          <w:bCs/>
          <w:sz w:val="32"/>
          <w:szCs w:val="32"/>
          <w:highlight w:val="none"/>
          <w:lang w:bidi="ar"/>
        </w:rPr>
        <w:t>（三）绩效评价工作过程</w:t>
      </w:r>
      <w:bookmarkEnd w:id="17"/>
    </w:p>
    <w:p w14:paraId="2458A49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本次绩效评价工作主要分为前期准备、评价实施和形成报告三个阶段。具体情况如下： </w:t>
      </w:r>
    </w:p>
    <w:p w14:paraId="38A84F0A">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1.前期准备阶段</w:t>
      </w:r>
    </w:p>
    <w:p w14:paraId="7CA1C048">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（1）成立工作组。在明确委托方要求后，组建工作组，明确工作组内的任务分工。</w:t>
      </w:r>
    </w:p>
    <w:p w14:paraId="17E1097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2）编制工作方案。编制绩效评价工作方案，对评价对象、评价内容、评价方式方法、评价体系和标准、工作程序和时间安排、人员安排及相关附件等作出具体规定。工作方案将报委托方审阅征求意见，并进行调整完善。 </w:t>
      </w:r>
    </w:p>
    <w:p w14:paraId="364AFD3E">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2.评价实施阶段</w:t>
      </w:r>
    </w:p>
    <w:p w14:paraId="2FD76014">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（1）前期准备通知</w:t>
      </w:r>
    </w:p>
    <w:p w14:paraId="2B303784">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工作组通过委托方获取项目单位联系方式，与项目单位提前沟通，下发资料清单，由项目单位进行前期资料准备。</w:t>
      </w:r>
    </w:p>
    <w:p w14:paraId="212817ED">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（2）收集部门资料</w:t>
      </w:r>
    </w:p>
    <w:p w14:paraId="7BC6EDB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为满足评价工作需要，通过邮件、电话、建立微信工作群等方式，根据需要准备资料清单，跟踪辅导被评价项目 单位准备评价所需相关资料，对遇到的疑惑，及时予以解答，为被评价项目单位能够提供出满足评价需要的资料提供辅导支持。</w:t>
      </w:r>
    </w:p>
    <w:p w14:paraId="6D738A4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（3）资料收集及审核反馈</w:t>
      </w:r>
    </w:p>
    <w:p w14:paraId="562CFDBC">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工作组将依据资料收集清单对资料进 行形式审核，对于不符合要求、存在重大缺项漏项的资料予以退回，并反馈原因，辅导被评价项目单位补充完善。</w:t>
      </w:r>
    </w:p>
    <w:p w14:paraId="0253F3D3">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（4）非现场评价</w:t>
      </w:r>
    </w:p>
    <w:p w14:paraId="043CCCAA">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主要对被评价项目提交的评价相关资料进行审核，统计和评分，在审核过程中对于存有疑义的问题，我们会与相关单位充分沟通，对于对评价结果有重大影响的存疑事项，也将进行现场检查或勘察。 </w:t>
      </w:r>
    </w:p>
    <w:p w14:paraId="2DC76CC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（5）综合评价分析</w:t>
      </w:r>
    </w:p>
    <w:p w14:paraId="37DECF1D">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 xml:space="preserve">根据所收集的基础资料，结合现场核实的有关情况，整理出绩效评价所需的基本资料和数据。按照评价实施方案确定的评价指标、评价标准和评价方法，根据评价基础数据，对评价项目的总体绩效情况进行全面的综合评价，形成评价结论。 </w:t>
      </w:r>
    </w:p>
    <w:p w14:paraId="6FB41270">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 xml:space="preserve">3.报告撰写阶段 </w:t>
      </w:r>
    </w:p>
    <w:p w14:paraId="063F596E">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在前期工作开展的基础上，工作组对项目情况进行汇总和分析， 撰写绩效评价报告，经公司内部审核后，递交委托方征求意见并根据反馈意见修改完成形成报告终稿。</w:t>
      </w:r>
    </w:p>
    <w:p w14:paraId="7BC6895F">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lang w:bidi="ar"/>
        </w:rPr>
      </w:pPr>
      <w:bookmarkStart w:id="18" w:name="_Toc4815"/>
      <w:r>
        <w:rPr>
          <w:rFonts w:hint="eastAsia" w:ascii="仿宋" w:hAnsi="仿宋" w:eastAsia="仿宋" w:cs="仿宋"/>
          <w:b/>
          <w:bCs/>
          <w:sz w:val="32"/>
          <w:szCs w:val="32"/>
          <w:highlight w:val="none"/>
          <w:lang w:bidi="ar"/>
        </w:rPr>
        <w:t>三、综合评价情况及评价结论</w:t>
      </w:r>
      <w:bookmarkEnd w:id="18"/>
    </w:p>
    <w:p w14:paraId="4C1F385E">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表3-1 2023年部门整体支出指标评分表</w:t>
      </w:r>
    </w:p>
    <w:tbl>
      <w:tblPr>
        <w:tblStyle w:val="10"/>
        <w:tblW w:w="4997" w:type="pct"/>
        <w:jc w:val="center"/>
        <w:tblBorders>
          <w:top w:val="single" w:color="auto" w:sz="4" w:space="0"/>
          <w:left w:val="none" w:color="auto" w:sz="0" w:space="0"/>
          <w:bottom w:val="single" w:color="auto" w:sz="4" w:space="0"/>
          <w:right w:val="none" w:color="auto" w:sz="0" w:space="0"/>
          <w:insideH w:val="dotted" w:color="auto" w:sz="4" w:space="0"/>
          <w:insideV w:val="dotted" w:color="auto" w:sz="4" w:space="0"/>
        </w:tblBorders>
        <w:tblLayout w:type="autofit"/>
        <w:tblCellMar>
          <w:top w:w="0" w:type="dxa"/>
          <w:left w:w="0" w:type="dxa"/>
          <w:bottom w:w="0" w:type="dxa"/>
          <w:right w:w="0" w:type="dxa"/>
        </w:tblCellMar>
      </w:tblPr>
      <w:tblGrid>
        <w:gridCol w:w="2209"/>
        <w:gridCol w:w="2210"/>
        <w:gridCol w:w="2210"/>
        <w:gridCol w:w="2238"/>
      </w:tblGrid>
      <w:tr w14:paraId="6541AD58">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0DDA77E5">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一级指标</w:t>
            </w:r>
          </w:p>
        </w:tc>
        <w:tc>
          <w:tcPr>
            <w:tcW w:w="1246" w:type="pct"/>
            <w:tcBorders>
              <w:tl2br w:val="nil"/>
              <w:tr2bl w:val="nil"/>
            </w:tcBorders>
            <w:noWrap w:val="0"/>
            <w:tcMar>
              <w:top w:w="10" w:type="dxa"/>
              <w:left w:w="10" w:type="dxa"/>
              <w:right w:w="10" w:type="dxa"/>
            </w:tcMar>
            <w:vAlign w:val="center"/>
          </w:tcPr>
          <w:p w14:paraId="072C90A6">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分值</w:t>
            </w:r>
          </w:p>
        </w:tc>
        <w:tc>
          <w:tcPr>
            <w:tcW w:w="1246" w:type="pct"/>
            <w:tcBorders>
              <w:tl2br w:val="nil"/>
              <w:tr2bl w:val="nil"/>
            </w:tcBorders>
            <w:noWrap w:val="0"/>
            <w:tcMar>
              <w:top w:w="10" w:type="dxa"/>
              <w:left w:w="10" w:type="dxa"/>
              <w:right w:w="10" w:type="dxa"/>
            </w:tcMar>
            <w:vAlign w:val="center"/>
          </w:tcPr>
          <w:p w14:paraId="6F8C5619">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w:t>
            </w:r>
          </w:p>
        </w:tc>
        <w:tc>
          <w:tcPr>
            <w:tcW w:w="1259" w:type="pct"/>
            <w:tcBorders>
              <w:tl2br w:val="nil"/>
              <w:tr2bl w:val="nil"/>
            </w:tcBorders>
            <w:noWrap w:val="0"/>
            <w:tcMar>
              <w:top w:w="10" w:type="dxa"/>
              <w:left w:w="10" w:type="dxa"/>
              <w:right w:w="10" w:type="dxa"/>
            </w:tcMar>
            <w:vAlign w:val="center"/>
          </w:tcPr>
          <w:p w14:paraId="4F0C9626">
            <w:pPr>
              <w:autoSpaceDE w:val="0"/>
              <w:spacing w:line="24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bidi="ar"/>
              </w:rPr>
              <w:t>得分率</w:t>
            </w:r>
          </w:p>
        </w:tc>
      </w:tr>
      <w:tr w14:paraId="6DCB5FFD">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6EFA4DA6">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投入</w:t>
            </w:r>
          </w:p>
        </w:tc>
        <w:tc>
          <w:tcPr>
            <w:tcW w:w="1246" w:type="pct"/>
            <w:tcBorders>
              <w:tl2br w:val="nil"/>
              <w:tr2bl w:val="nil"/>
            </w:tcBorders>
            <w:noWrap w:val="0"/>
            <w:tcMar>
              <w:top w:w="10" w:type="dxa"/>
              <w:left w:w="10" w:type="dxa"/>
              <w:right w:w="10" w:type="dxa"/>
            </w:tcMar>
            <w:vAlign w:val="center"/>
          </w:tcPr>
          <w:p w14:paraId="6A6E46D7">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15</w:t>
            </w:r>
          </w:p>
        </w:tc>
        <w:tc>
          <w:tcPr>
            <w:tcW w:w="1246" w:type="pct"/>
            <w:tcBorders>
              <w:tl2br w:val="nil"/>
              <w:tr2bl w:val="nil"/>
            </w:tcBorders>
            <w:noWrap w:val="0"/>
            <w:tcMar>
              <w:top w:w="10" w:type="dxa"/>
              <w:left w:w="10" w:type="dxa"/>
              <w:right w:w="10" w:type="dxa"/>
            </w:tcMar>
            <w:vAlign w:val="center"/>
          </w:tcPr>
          <w:p w14:paraId="711D8589">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259" w:type="pct"/>
            <w:tcBorders>
              <w:tl2br w:val="nil"/>
              <w:tr2bl w:val="nil"/>
            </w:tcBorders>
            <w:noWrap w:val="0"/>
            <w:tcMar>
              <w:top w:w="10" w:type="dxa"/>
              <w:left w:w="10" w:type="dxa"/>
              <w:right w:w="10" w:type="dxa"/>
            </w:tcMar>
            <w:vAlign w:val="center"/>
          </w:tcPr>
          <w:p w14:paraId="31953E79">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86.67%</w:t>
            </w:r>
          </w:p>
        </w:tc>
      </w:tr>
      <w:tr w14:paraId="642071CC">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7A172A54">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过程</w:t>
            </w:r>
          </w:p>
        </w:tc>
        <w:tc>
          <w:tcPr>
            <w:tcW w:w="1246" w:type="pct"/>
            <w:tcBorders>
              <w:tl2br w:val="nil"/>
              <w:tr2bl w:val="nil"/>
            </w:tcBorders>
            <w:noWrap w:val="0"/>
            <w:tcMar>
              <w:top w:w="10" w:type="dxa"/>
              <w:left w:w="10" w:type="dxa"/>
              <w:right w:w="10" w:type="dxa"/>
            </w:tcMar>
            <w:vAlign w:val="center"/>
          </w:tcPr>
          <w:p w14:paraId="53BF1694">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49</w:t>
            </w:r>
          </w:p>
        </w:tc>
        <w:tc>
          <w:tcPr>
            <w:tcW w:w="1246" w:type="pct"/>
            <w:tcBorders>
              <w:tl2br w:val="nil"/>
              <w:tr2bl w:val="nil"/>
            </w:tcBorders>
            <w:noWrap w:val="0"/>
            <w:tcMar>
              <w:top w:w="10" w:type="dxa"/>
              <w:left w:w="10" w:type="dxa"/>
              <w:right w:w="10" w:type="dxa"/>
            </w:tcMar>
            <w:vAlign w:val="center"/>
          </w:tcPr>
          <w:p w14:paraId="5566320D">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43</w:t>
            </w:r>
          </w:p>
        </w:tc>
        <w:tc>
          <w:tcPr>
            <w:tcW w:w="1259" w:type="pct"/>
            <w:tcBorders>
              <w:tl2br w:val="nil"/>
              <w:tr2bl w:val="nil"/>
            </w:tcBorders>
            <w:noWrap w:val="0"/>
            <w:tcMar>
              <w:top w:w="10" w:type="dxa"/>
              <w:left w:w="10" w:type="dxa"/>
              <w:right w:w="10" w:type="dxa"/>
            </w:tcMar>
            <w:vAlign w:val="center"/>
          </w:tcPr>
          <w:p w14:paraId="1D9A6B82">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87.76%</w:t>
            </w:r>
          </w:p>
        </w:tc>
      </w:tr>
      <w:tr w14:paraId="0BB63FA5">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5CA8B0BC">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产出</w:t>
            </w:r>
          </w:p>
        </w:tc>
        <w:tc>
          <w:tcPr>
            <w:tcW w:w="1246" w:type="pct"/>
            <w:tcBorders>
              <w:tl2br w:val="nil"/>
              <w:tr2bl w:val="nil"/>
            </w:tcBorders>
            <w:noWrap w:val="0"/>
            <w:tcMar>
              <w:top w:w="10" w:type="dxa"/>
              <w:left w:w="10" w:type="dxa"/>
              <w:right w:w="10" w:type="dxa"/>
            </w:tcMar>
            <w:vAlign w:val="center"/>
          </w:tcPr>
          <w:p w14:paraId="19C070F4">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246" w:type="pct"/>
            <w:tcBorders>
              <w:tl2br w:val="nil"/>
              <w:tr2bl w:val="nil"/>
            </w:tcBorders>
            <w:noWrap w:val="0"/>
            <w:tcMar>
              <w:top w:w="10" w:type="dxa"/>
              <w:left w:w="10" w:type="dxa"/>
              <w:right w:w="10" w:type="dxa"/>
            </w:tcMar>
            <w:vAlign w:val="center"/>
          </w:tcPr>
          <w:p w14:paraId="72CDED4A">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14.18</w:t>
            </w:r>
          </w:p>
        </w:tc>
        <w:tc>
          <w:tcPr>
            <w:tcW w:w="1259" w:type="pct"/>
            <w:tcBorders>
              <w:tl2br w:val="nil"/>
              <w:tr2bl w:val="nil"/>
            </w:tcBorders>
            <w:noWrap w:val="0"/>
            <w:tcMar>
              <w:top w:w="10" w:type="dxa"/>
              <w:left w:w="10" w:type="dxa"/>
              <w:right w:w="10" w:type="dxa"/>
            </w:tcMar>
            <w:vAlign w:val="center"/>
          </w:tcPr>
          <w:p w14:paraId="25973D3A">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88.63%</w:t>
            </w:r>
          </w:p>
        </w:tc>
      </w:tr>
      <w:tr w14:paraId="413D5378">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1246" w:type="pct"/>
            <w:tcBorders>
              <w:tl2br w:val="nil"/>
              <w:tr2bl w:val="nil"/>
            </w:tcBorders>
            <w:noWrap w:val="0"/>
            <w:tcMar>
              <w:top w:w="10" w:type="dxa"/>
              <w:left w:w="10" w:type="dxa"/>
              <w:right w:w="10" w:type="dxa"/>
            </w:tcMar>
            <w:vAlign w:val="center"/>
          </w:tcPr>
          <w:p w14:paraId="1705245C">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效果</w:t>
            </w:r>
          </w:p>
        </w:tc>
        <w:tc>
          <w:tcPr>
            <w:tcW w:w="1246" w:type="pct"/>
            <w:tcBorders>
              <w:tl2br w:val="nil"/>
              <w:tr2bl w:val="nil"/>
            </w:tcBorders>
            <w:noWrap w:val="0"/>
            <w:tcMar>
              <w:top w:w="10" w:type="dxa"/>
              <w:left w:w="10" w:type="dxa"/>
              <w:right w:w="10" w:type="dxa"/>
            </w:tcMar>
            <w:vAlign w:val="center"/>
          </w:tcPr>
          <w:p w14:paraId="27B771D8">
            <w:pPr>
              <w:autoSpaceDE w:val="0"/>
              <w:spacing w:line="24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bidi="ar"/>
              </w:rPr>
              <w:t>20</w:t>
            </w:r>
          </w:p>
        </w:tc>
        <w:tc>
          <w:tcPr>
            <w:tcW w:w="1246" w:type="pct"/>
            <w:tcBorders>
              <w:tl2br w:val="nil"/>
              <w:tr2bl w:val="nil"/>
            </w:tcBorders>
            <w:noWrap w:val="0"/>
            <w:tcMar>
              <w:top w:w="10" w:type="dxa"/>
              <w:left w:w="10" w:type="dxa"/>
              <w:right w:w="10" w:type="dxa"/>
            </w:tcMar>
            <w:vAlign w:val="center"/>
          </w:tcPr>
          <w:p w14:paraId="74688D03">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19.25</w:t>
            </w:r>
          </w:p>
        </w:tc>
        <w:tc>
          <w:tcPr>
            <w:tcW w:w="1259" w:type="pct"/>
            <w:tcBorders>
              <w:tl2br w:val="nil"/>
              <w:tr2bl w:val="nil"/>
            </w:tcBorders>
            <w:noWrap w:val="0"/>
            <w:tcMar>
              <w:top w:w="10" w:type="dxa"/>
              <w:left w:w="10" w:type="dxa"/>
              <w:right w:w="10" w:type="dxa"/>
            </w:tcMar>
            <w:vAlign w:val="center"/>
          </w:tcPr>
          <w:p w14:paraId="340CC331">
            <w:pPr>
              <w:autoSpaceDE w:val="0"/>
              <w:spacing w:line="240" w:lineRule="auto"/>
              <w:ind w:firstLine="480"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96.25%</w:t>
            </w:r>
          </w:p>
        </w:tc>
      </w:tr>
      <w:tr w14:paraId="42700E20">
        <w:tblPrEx>
          <w:tblBorders>
            <w:top w:val="single" w:color="auto" w:sz="4" w:space="0"/>
            <w:left w:val="none" w:color="auto" w:sz="0" w:space="0"/>
            <w:bottom w:val="single" w:color="auto" w:sz="4" w:space="0"/>
            <w:right w:val="none" w:color="auto" w:sz="0" w:space="0"/>
            <w:insideH w:val="dotted" w:color="auto" w:sz="4" w:space="0"/>
            <w:insideV w:val="dotted" w:color="auto" w:sz="4" w:space="0"/>
          </w:tblBorders>
          <w:tblCellMar>
            <w:top w:w="0" w:type="dxa"/>
            <w:left w:w="0" w:type="dxa"/>
            <w:bottom w:w="0" w:type="dxa"/>
            <w:right w:w="0" w:type="dxa"/>
          </w:tblCellMar>
        </w:tblPrEx>
        <w:trPr>
          <w:cantSplit/>
          <w:trHeight w:val="386" w:hRule="atLeast"/>
          <w:tblHeader/>
          <w:jc w:val="center"/>
        </w:trPr>
        <w:tc>
          <w:tcPr>
            <w:tcW w:w="5000" w:type="pct"/>
            <w:gridSpan w:val="4"/>
            <w:tcBorders>
              <w:tl2br w:val="nil"/>
              <w:tr2bl w:val="nil"/>
            </w:tcBorders>
            <w:noWrap w:val="0"/>
            <w:tcMar>
              <w:top w:w="10" w:type="dxa"/>
              <w:left w:w="10" w:type="dxa"/>
              <w:right w:w="10" w:type="dxa"/>
            </w:tcMar>
            <w:vAlign w:val="center"/>
          </w:tcPr>
          <w:p w14:paraId="1D7EC1B6">
            <w:pPr>
              <w:autoSpaceDE w:val="0"/>
              <w:spacing w:line="240" w:lineRule="auto"/>
              <w:ind w:firstLine="482" w:firstLineChars="200"/>
              <w:jc w:val="cente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bidi="ar"/>
              </w:rPr>
              <w:t>绩效评价得分：</w:t>
            </w:r>
            <w:r>
              <w:rPr>
                <w:rFonts w:hint="eastAsia" w:ascii="仿宋" w:hAnsi="仿宋" w:eastAsia="仿宋" w:cs="仿宋"/>
                <w:b/>
                <w:bCs/>
                <w:sz w:val="24"/>
                <w:szCs w:val="24"/>
                <w:highlight w:val="none"/>
                <w:lang w:val="en-US" w:eastAsia="zh-CN" w:bidi="ar"/>
              </w:rPr>
              <w:t>89</w:t>
            </w:r>
            <w:r>
              <w:rPr>
                <w:rFonts w:hint="eastAsia" w:ascii="仿宋" w:hAnsi="仿宋" w:eastAsia="仿宋" w:cs="仿宋"/>
                <w:b/>
                <w:bCs/>
                <w:sz w:val="24"/>
                <w:szCs w:val="24"/>
                <w:highlight w:val="none"/>
                <w:lang w:bidi="ar"/>
              </w:rPr>
              <w:t>.</w:t>
            </w:r>
            <w:r>
              <w:rPr>
                <w:rFonts w:hint="eastAsia" w:ascii="仿宋" w:hAnsi="仿宋" w:eastAsia="仿宋" w:cs="仿宋"/>
                <w:b/>
                <w:bCs/>
                <w:sz w:val="24"/>
                <w:szCs w:val="24"/>
                <w:highlight w:val="none"/>
                <w:lang w:val="en-US" w:eastAsia="zh-CN" w:bidi="ar"/>
              </w:rPr>
              <w:t xml:space="preserve">43       </w:t>
            </w:r>
            <w:r>
              <w:rPr>
                <w:rFonts w:hint="eastAsia" w:ascii="仿宋" w:hAnsi="仿宋" w:eastAsia="仿宋" w:cs="仿宋"/>
                <w:b/>
                <w:bCs/>
                <w:sz w:val="24"/>
                <w:szCs w:val="24"/>
                <w:highlight w:val="none"/>
                <w:lang w:bidi="ar"/>
              </w:rPr>
              <w:t>综合评价结果等级：</w:t>
            </w:r>
            <w:r>
              <w:rPr>
                <w:rFonts w:hint="eastAsia" w:ascii="仿宋" w:hAnsi="仿宋" w:eastAsia="仿宋" w:cs="仿宋"/>
                <w:b/>
                <w:bCs/>
                <w:sz w:val="24"/>
                <w:szCs w:val="24"/>
                <w:highlight w:val="none"/>
                <w:lang w:val="en-US" w:eastAsia="zh-CN" w:bidi="ar"/>
              </w:rPr>
              <w:t>良</w:t>
            </w:r>
          </w:p>
        </w:tc>
      </w:tr>
    </w:tbl>
    <w:p w14:paraId="2306ADB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0"/>
        <w:rPr>
          <w:rFonts w:hint="eastAsia" w:ascii="仿宋" w:hAnsi="仿宋" w:eastAsia="仿宋" w:cs="仿宋"/>
          <w:b/>
          <w:bCs/>
          <w:sz w:val="32"/>
          <w:szCs w:val="32"/>
          <w:highlight w:val="none"/>
        </w:rPr>
      </w:pPr>
      <w:bookmarkStart w:id="19" w:name="_Toc12861"/>
      <w:r>
        <w:rPr>
          <w:rFonts w:hint="eastAsia" w:ascii="仿宋" w:hAnsi="仿宋" w:eastAsia="仿宋" w:cs="仿宋"/>
          <w:b/>
          <w:bCs/>
          <w:sz w:val="32"/>
          <w:szCs w:val="32"/>
          <w:highlight w:val="none"/>
          <w:lang w:bidi="ar"/>
        </w:rPr>
        <w:t>四、绩效评价指标分析</w:t>
      </w:r>
      <w:bookmarkEnd w:id="19"/>
    </w:p>
    <w:p w14:paraId="7431349A">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0" w:name="_Toc31989"/>
      <w:r>
        <w:rPr>
          <w:rFonts w:hint="eastAsia" w:ascii="仿宋" w:hAnsi="仿宋" w:eastAsia="仿宋" w:cs="仿宋"/>
          <w:b/>
          <w:bCs/>
          <w:sz w:val="32"/>
          <w:szCs w:val="32"/>
          <w:highlight w:val="none"/>
          <w:lang w:bidi="ar"/>
        </w:rPr>
        <w:t>（一）项目投入情况</w:t>
      </w:r>
      <w:bookmarkEnd w:id="20"/>
    </w:p>
    <w:p w14:paraId="3B1476D4">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从目标设定、预算配置两个方面进行评价，满分为15分，总得分</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分。</w:t>
      </w:r>
    </w:p>
    <w:p w14:paraId="1AEF9F6C">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表4-1</w:t>
      </w:r>
      <w:r>
        <w:rPr>
          <w:rFonts w:hint="eastAsia" w:ascii="仿宋" w:hAnsi="仿宋" w:eastAsia="仿宋" w:cs="仿宋"/>
          <w:b/>
          <w:bCs/>
          <w:color w:val="000000"/>
          <w:sz w:val="32"/>
          <w:szCs w:val="32"/>
          <w:highlight w:val="none"/>
          <w:lang w:bidi="ar"/>
        </w:rPr>
        <w:t>项目投入情况得分表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333"/>
        <w:gridCol w:w="3735"/>
        <w:gridCol w:w="810"/>
        <w:gridCol w:w="744"/>
      </w:tblGrid>
      <w:tr w14:paraId="0CA4583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5BCE6403">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24E25F50">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333" w:type="dxa"/>
            <w:tcBorders>
              <w:top w:val="single" w:color="auto" w:sz="8" w:space="0"/>
              <w:left w:val="dotted" w:color="auto" w:sz="4" w:space="0"/>
              <w:bottom w:val="dotted" w:color="auto" w:sz="4" w:space="0"/>
              <w:right w:val="dotted" w:color="auto" w:sz="4" w:space="0"/>
            </w:tcBorders>
            <w:noWrap/>
            <w:vAlign w:val="center"/>
          </w:tcPr>
          <w:p w14:paraId="61B0CAE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735" w:type="dxa"/>
            <w:tcBorders>
              <w:top w:val="single" w:color="auto" w:sz="8" w:space="0"/>
              <w:left w:val="dotted" w:color="auto" w:sz="4" w:space="0"/>
              <w:bottom w:val="dotted" w:color="auto" w:sz="4" w:space="0"/>
              <w:right w:val="dotted" w:color="auto" w:sz="4" w:space="0"/>
            </w:tcBorders>
            <w:noWrap/>
            <w:vAlign w:val="center"/>
          </w:tcPr>
          <w:p w14:paraId="1946B098">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810" w:type="dxa"/>
            <w:tcBorders>
              <w:top w:val="single" w:color="auto" w:sz="8" w:space="0"/>
              <w:left w:val="dotted" w:color="auto" w:sz="4" w:space="0"/>
              <w:bottom w:val="dotted" w:color="auto" w:sz="4" w:space="0"/>
              <w:right w:val="dotted" w:color="auto" w:sz="4" w:space="0"/>
            </w:tcBorders>
            <w:noWrap/>
            <w:vAlign w:val="center"/>
          </w:tcPr>
          <w:p w14:paraId="08494863">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744" w:type="dxa"/>
            <w:tcBorders>
              <w:top w:val="single" w:color="auto" w:sz="8" w:space="0"/>
              <w:left w:val="dotted" w:color="auto" w:sz="4" w:space="0"/>
              <w:bottom w:val="dotted" w:color="auto" w:sz="4" w:space="0"/>
              <w:right w:val="nil"/>
            </w:tcBorders>
            <w:noWrap/>
            <w:vAlign w:val="center"/>
          </w:tcPr>
          <w:p w14:paraId="00F2AFDB">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48730BB6">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47E0830B">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投入</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745BE8ED">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15</w:t>
            </w:r>
          </w:p>
        </w:tc>
        <w:tc>
          <w:tcPr>
            <w:tcW w:w="1333" w:type="dxa"/>
            <w:vMerge w:val="restart"/>
            <w:tcBorders>
              <w:top w:val="dotted" w:color="auto" w:sz="4" w:space="0"/>
              <w:left w:val="dotted" w:color="auto" w:sz="4" w:space="0"/>
              <w:bottom w:val="dotted" w:color="auto" w:sz="4" w:space="0"/>
              <w:right w:val="dotted" w:color="auto" w:sz="4" w:space="0"/>
            </w:tcBorders>
            <w:noWrap w:val="0"/>
            <w:vAlign w:val="center"/>
          </w:tcPr>
          <w:p w14:paraId="37F3B80D">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目标设定</w:t>
            </w:r>
          </w:p>
        </w:tc>
        <w:tc>
          <w:tcPr>
            <w:tcW w:w="3735" w:type="dxa"/>
            <w:tcBorders>
              <w:top w:val="dotted" w:color="auto" w:sz="4" w:space="0"/>
              <w:left w:val="dotted" w:color="auto" w:sz="4" w:space="0"/>
              <w:bottom w:val="dotted" w:color="auto" w:sz="4" w:space="0"/>
              <w:right w:val="dotted" w:color="auto" w:sz="4" w:space="0"/>
            </w:tcBorders>
            <w:noWrap w:val="0"/>
            <w:vAlign w:val="center"/>
          </w:tcPr>
          <w:p w14:paraId="1A0445C4">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绩效目标合法合规合理性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6AADA1CE">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298F4ED2">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13FAECA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DBAAAF9">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ECB3AAF">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6DF67F19">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1DAE1C4B">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绩效目标与部门职责的相符性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2048F0C8">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681484F2">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3EF1C50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4AB4B750">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EBCFDA8">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6BB0AD2C">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2E638B35">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绩效指标清晰量化程度</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7E1066EE">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317BA1E7">
            <w:pPr>
              <w:widowControl/>
              <w:autoSpaceDE w:val="0"/>
              <w:spacing w:before="10"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w:t>
            </w:r>
          </w:p>
        </w:tc>
      </w:tr>
      <w:tr w14:paraId="5D59CB8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71A0B866">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1B2108E">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631DD4BE">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21D29B67">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绩效目标与年度任务对应性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42CA40ED">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1</w:t>
            </w:r>
          </w:p>
        </w:tc>
        <w:tc>
          <w:tcPr>
            <w:tcW w:w="744" w:type="dxa"/>
            <w:tcBorders>
              <w:top w:val="dotted" w:color="auto" w:sz="4" w:space="0"/>
              <w:left w:val="dotted" w:color="auto" w:sz="4" w:space="0"/>
              <w:bottom w:val="dotted" w:color="auto" w:sz="4" w:space="0"/>
              <w:right w:val="nil"/>
            </w:tcBorders>
            <w:noWrap/>
            <w:vAlign w:val="center"/>
          </w:tcPr>
          <w:p w14:paraId="091B1BD4">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r>
      <w:tr w14:paraId="45B94A7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7C618AAD">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0B606312">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0"/>
            <w:vAlign w:val="center"/>
          </w:tcPr>
          <w:p w14:paraId="05DF8175">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0"/>
            <w:vAlign w:val="center"/>
          </w:tcPr>
          <w:p w14:paraId="4AD48297">
            <w:pPr>
              <w:widowControl/>
              <w:autoSpaceDE w:val="0"/>
              <w:spacing w:line="240" w:lineRule="auto"/>
              <w:jc w:val="center"/>
              <w:textAlignment w:val="center"/>
              <w:rPr>
                <w:rFonts w:hint="eastAsia" w:ascii="仿宋" w:hAnsi="仿宋" w:eastAsia="仿宋" w:cs="仿宋"/>
                <w:color w:val="000000"/>
                <w:sz w:val="24"/>
                <w:szCs w:val="24"/>
                <w:highlight w:val="none"/>
              </w:rPr>
            </w:pPr>
            <w:r>
              <w:rPr>
                <w:rStyle w:val="14"/>
                <w:rFonts w:hint="eastAsia" w:ascii="仿宋" w:hAnsi="仿宋" w:eastAsia="仿宋" w:cs="仿宋"/>
                <w:sz w:val="24"/>
                <w:szCs w:val="24"/>
                <w:highlight w:val="none"/>
                <w:lang w:bidi="ar"/>
              </w:rPr>
              <w:t>绩效目标与预算资金匹配性</w:t>
            </w:r>
          </w:p>
        </w:tc>
        <w:tc>
          <w:tcPr>
            <w:tcW w:w="810" w:type="dxa"/>
            <w:tcBorders>
              <w:top w:val="dotted" w:color="auto" w:sz="4" w:space="0"/>
              <w:left w:val="dotted" w:color="auto" w:sz="4" w:space="0"/>
              <w:bottom w:val="dotted" w:color="auto" w:sz="4" w:space="0"/>
              <w:right w:val="dotted" w:color="auto" w:sz="4" w:space="0"/>
            </w:tcBorders>
            <w:noWrap w:val="0"/>
            <w:vAlign w:val="center"/>
          </w:tcPr>
          <w:p w14:paraId="4A713E2B">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2</w:t>
            </w:r>
          </w:p>
        </w:tc>
        <w:tc>
          <w:tcPr>
            <w:tcW w:w="744" w:type="dxa"/>
            <w:tcBorders>
              <w:top w:val="dotted" w:color="auto" w:sz="4" w:space="0"/>
              <w:left w:val="dotted" w:color="auto" w:sz="4" w:space="0"/>
              <w:bottom w:val="dotted" w:color="auto" w:sz="4" w:space="0"/>
              <w:right w:val="nil"/>
            </w:tcBorders>
            <w:noWrap/>
            <w:vAlign w:val="center"/>
          </w:tcPr>
          <w:p w14:paraId="4957F5B6">
            <w:pPr>
              <w:widowControl/>
              <w:autoSpaceDE w:val="0"/>
              <w:spacing w:before="10"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r>
      <w:tr w14:paraId="203221C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6641A30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67B1759">
            <w:pPr>
              <w:rPr>
                <w:rFonts w:hint="eastAsia" w:ascii="仿宋" w:hAnsi="仿宋" w:eastAsia="仿宋" w:cs="仿宋"/>
                <w:sz w:val="24"/>
                <w:szCs w:val="24"/>
                <w:highlight w:val="none"/>
              </w:rPr>
            </w:pPr>
          </w:p>
        </w:tc>
        <w:tc>
          <w:tcPr>
            <w:tcW w:w="1333" w:type="dxa"/>
            <w:vMerge w:val="restart"/>
            <w:tcBorders>
              <w:top w:val="dotted" w:color="auto" w:sz="4" w:space="0"/>
              <w:left w:val="dotted" w:color="auto" w:sz="4" w:space="0"/>
              <w:bottom w:val="dotted" w:color="auto" w:sz="4" w:space="0"/>
              <w:right w:val="dotted" w:color="auto" w:sz="4" w:space="0"/>
            </w:tcBorders>
            <w:noWrap/>
            <w:vAlign w:val="center"/>
          </w:tcPr>
          <w:p w14:paraId="1D19379C">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bidi="ar"/>
              </w:rPr>
              <w:t>预算配置</w:t>
            </w:r>
          </w:p>
          <w:p w14:paraId="246D2C94">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4D7D901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在职人员控制率</w:t>
            </w:r>
          </w:p>
        </w:tc>
        <w:tc>
          <w:tcPr>
            <w:tcW w:w="810" w:type="dxa"/>
            <w:tcBorders>
              <w:top w:val="dotted" w:color="auto" w:sz="4" w:space="0"/>
              <w:left w:val="dotted" w:color="auto" w:sz="4" w:space="0"/>
              <w:bottom w:val="dotted" w:color="auto" w:sz="4" w:space="0"/>
              <w:right w:val="dotted" w:color="auto" w:sz="4" w:space="0"/>
            </w:tcBorders>
            <w:noWrap/>
            <w:vAlign w:val="center"/>
          </w:tcPr>
          <w:p w14:paraId="346AABFD">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23F687B2">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3</w:t>
            </w:r>
          </w:p>
        </w:tc>
      </w:tr>
      <w:tr w14:paraId="6AB317B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3F027123">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36A03B5">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25EB7583">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01077AA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“三公经费”变动率</w:t>
            </w:r>
          </w:p>
        </w:tc>
        <w:tc>
          <w:tcPr>
            <w:tcW w:w="810" w:type="dxa"/>
            <w:tcBorders>
              <w:top w:val="dotted" w:color="auto" w:sz="4" w:space="0"/>
              <w:left w:val="dotted" w:color="auto" w:sz="4" w:space="0"/>
              <w:bottom w:val="dotted" w:color="auto" w:sz="4" w:space="0"/>
              <w:right w:val="dotted" w:color="auto" w:sz="4" w:space="0"/>
            </w:tcBorders>
            <w:noWrap/>
            <w:vAlign w:val="center"/>
          </w:tcPr>
          <w:p w14:paraId="682ED14D">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0E9BD087">
            <w:pPr>
              <w:widowControl/>
              <w:autoSpaceDE w:val="0"/>
              <w:spacing w:before="10" w:line="240" w:lineRule="auto"/>
              <w:jc w:val="center"/>
              <w:textAlignment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p>
        </w:tc>
      </w:tr>
      <w:tr w14:paraId="1213D49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14FCB7DE">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EF2DAA6">
            <w:pPr>
              <w:rPr>
                <w:rFonts w:hint="eastAsia" w:ascii="仿宋" w:hAnsi="仿宋" w:eastAsia="仿宋" w:cs="仿宋"/>
                <w:sz w:val="24"/>
                <w:szCs w:val="24"/>
                <w:highlight w:val="none"/>
              </w:rPr>
            </w:pPr>
          </w:p>
        </w:tc>
        <w:tc>
          <w:tcPr>
            <w:tcW w:w="1333" w:type="dxa"/>
            <w:vMerge w:val="continue"/>
            <w:tcBorders>
              <w:top w:val="dotted" w:color="auto" w:sz="4" w:space="0"/>
              <w:left w:val="dotted" w:color="auto" w:sz="4" w:space="0"/>
              <w:bottom w:val="dotted" w:color="auto" w:sz="4" w:space="0"/>
              <w:right w:val="dotted" w:color="auto" w:sz="4" w:space="0"/>
            </w:tcBorders>
            <w:noWrap/>
            <w:vAlign w:val="center"/>
          </w:tcPr>
          <w:p w14:paraId="0CA37894">
            <w:pPr>
              <w:rPr>
                <w:rFonts w:hint="eastAsia" w:ascii="仿宋" w:hAnsi="仿宋" w:eastAsia="仿宋" w:cs="仿宋"/>
                <w:sz w:val="24"/>
                <w:szCs w:val="24"/>
                <w:highlight w:val="none"/>
              </w:rPr>
            </w:pPr>
          </w:p>
        </w:tc>
        <w:tc>
          <w:tcPr>
            <w:tcW w:w="3735" w:type="dxa"/>
            <w:tcBorders>
              <w:top w:val="dotted" w:color="auto" w:sz="4" w:space="0"/>
              <w:left w:val="dotted" w:color="auto" w:sz="4" w:space="0"/>
              <w:bottom w:val="dotted" w:color="auto" w:sz="4" w:space="0"/>
              <w:right w:val="dotted" w:color="auto" w:sz="4" w:space="0"/>
            </w:tcBorders>
            <w:noWrap/>
            <w:vAlign w:val="center"/>
          </w:tcPr>
          <w:p w14:paraId="4D1598C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Style w:val="15"/>
                <w:rFonts w:hint="eastAsia" w:ascii="仿宋" w:hAnsi="仿宋" w:eastAsia="仿宋" w:cs="仿宋"/>
                <w:sz w:val="24"/>
                <w:szCs w:val="24"/>
                <w:highlight w:val="none"/>
                <w:lang w:bidi="ar"/>
              </w:rPr>
              <w:t>重点支出安排率</w:t>
            </w:r>
          </w:p>
        </w:tc>
        <w:tc>
          <w:tcPr>
            <w:tcW w:w="810" w:type="dxa"/>
            <w:tcBorders>
              <w:top w:val="dotted" w:color="auto" w:sz="4" w:space="0"/>
              <w:left w:val="dotted" w:color="auto" w:sz="4" w:space="0"/>
              <w:bottom w:val="dotted" w:color="auto" w:sz="4" w:space="0"/>
              <w:right w:val="dotted" w:color="auto" w:sz="4" w:space="0"/>
            </w:tcBorders>
            <w:noWrap/>
            <w:vAlign w:val="center"/>
          </w:tcPr>
          <w:p w14:paraId="70F2B61D">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bidi="ar"/>
              </w:rPr>
              <w:t>3</w:t>
            </w:r>
          </w:p>
        </w:tc>
        <w:tc>
          <w:tcPr>
            <w:tcW w:w="744" w:type="dxa"/>
            <w:tcBorders>
              <w:top w:val="dotted" w:color="auto" w:sz="4" w:space="0"/>
              <w:left w:val="dotted" w:color="auto" w:sz="4" w:space="0"/>
              <w:bottom w:val="dotted" w:color="auto" w:sz="4" w:space="0"/>
              <w:right w:val="nil"/>
            </w:tcBorders>
            <w:noWrap/>
            <w:vAlign w:val="center"/>
          </w:tcPr>
          <w:p w14:paraId="7F55BCC8">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r>
      <w:tr w14:paraId="7397ABA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5EF9489C">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441FAB8">
            <w:pPr>
              <w:rPr>
                <w:rFonts w:hint="eastAsia" w:ascii="仿宋" w:hAnsi="仿宋" w:eastAsia="仿宋" w:cs="仿宋"/>
                <w:sz w:val="24"/>
                <w:szCs w:val="24"/>
                <w:highlight w:val="none"/>
              </w:rPr>
            </w:pPr>
          </w:p>
        </w:tc>
        <w:tc>
          <w:tcPr>
            <w:tcW w:w="5068" w:type="dxa"/>
            <w:gridSpan w:val="2"/>
            <w:tcBorders>
              <w:top w:val="dotted" w:color="auto" w:sz="4" w:space="0"/>
              <w:left w:val="dotted" w:color="auto" w:sz="4" w:space="0"/>
              <w:bottom w:val="single" w:color="auto" w:sz="8" w:space="0"/>
              <w:right w:val="dotted" w:color="auto" w:sz="4" w:space="0"/>
            </w:tcBorders>
            <w:noWrap/>
            <w:vAlign w:val="center"/>
          </w:tcPr>
          <w:p w14:paraId="12013642">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合计</w:t>
            </w:r>
          </w:p>
        </w:tc>
        <w:tc>
          <w:tcPr>
            <w:tcW w:w="810" w:type="dxa"/>
            <w:tcBorders>
              <w:top w:val="dotted" w:color="auto" w:sz="4" w:space="0"/>
              <w:left w:val="dotted" w:color="auto" w:sz="4" w:space="0"/>
              <w:bottom w:val="single" w:color="auto" w:sz="8" w:space="0"/>
              <w:right w:val="dotted" w:color="auto" w:sz="4" w:space="0"/>
            </w:tcBorders>
            <w:noWrap/>
            <w:vAlign w:val="center"/>
          </w:tcPr>
          <w:p w14:paraId="6D8503A7">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bidi="ar"/>
              </w:rPr>
              <w:t>15</w:t>
            </w:r>
          </w:p>
        </w:tc>
        <w:tc>
          <w:tcPr>
            <w:tcW w:w="744" w:type="dxa"/>
            <w:tcBorders>
              <w:top w:val="dotted" w:color="auto" w:sz="4" w:space="0"/>
              <w:left w:val="dotted" w:color="auto" w:sz="4" w:space="0"/>
              <w:bottom w:val="single" w:color="auto" w:sz="8" w:space="0"/>
              <w:right w:val="nil"/>
            </w:tcBorders>
            <w:noWrap/>
            <w:vAlign w:val="center"/>
          </w:tcPr>
          <w:p w14:paraId="26FFD467">
            <w:pPr>
              <w:widowControl/>
              <w:autoSpaceDE w:val="0"/>
              <w:spacing w:before="10" w:line="240" w:lineRule="auto"/>
              <w:jc w:val="center"/>
              <w:textAlignment w:val="center"/>
              <w:rPr>
                <w:rFonts w:hint="eastAsia" w:ascii="仿宋" w:hAnsi="仿宋" w:eastAsia="仿宋" w:cs="仿宋"/>
                <w:bCs/>
                <w:sz w:val="24"/>
                <w:szCs w:val="24"/>
                <w:highlight w:val="none"/>
                <w:lang w:val="en-US" w:eastAsia="zh-CN"/>
              </w:rPr>
            </w:pPr>
            <w:r>
              <w:rPr>
                <w:rFonts w:hint="eastAsia" w:ascii="仿宋" w:hAnsi="仿宋" w:eastAsia="仿宋" w:cs="仿宋"/>
                <w:b/>
                <w:bCs w:val="0"/>
                <w:sz w:val="24"/>
                <w:szCs w:val="24"/>
                <w:highlight w:val="none"/>
                <w:lang w:val="en-US" w:eastAsia="zh-CN"/>
              </w:rPr>
              <w:t>13</w:t>
            </w:r>
          </w:p>
        </w:tc>
      </w:tr>
    </w:tbl>
    <w:p w14:paraId="298D1C0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1.目标设定情况</w:t>
      </w:r>
    </w:p>
    <w:p w14:paraId="66CECEE5">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（1）绩效目标合法合规合理性</w:t>
      </w:r>
    </w:p>
    <w:p w14:paraId="1920765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kern w:val="2"/>
          <w:sz w:val="32"/>
          <w:szCs w:val="32"/>
          <w:lang w:val="en-US" w:eastAsia="zh-CN" w:bidi="ar"/>
        </w:rPr>
        <w:t>设立的整体支出绩效目标依据充分，符合客观实际、符合国家法律法规、国民经济和社会发展总体规划。本项满分1分，实际得分1分。</w:t>
      </w:r>
    </w:p>
    <w:p w14:paraId="69CAFA1B">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（2）绩效目标与部门职责的相符性</w:t>
      </w:r>
    </w:p>
    <w:p w14:paraId="1271481A">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市技工学校</w:t>
      </w:r>
      <w:r>
        <w:rPr>
          <w:rStyle w:val="16"/>
          <w:rFonts w:hint="eastAsia" w:ascii="仿宋" w:hAnsi="仿宋" w:eastAsia="仿宋" w:cs="仿宋"/>
          <w:sz w:val="32"/>
          <w:szCs w:val="32"/>
          <w:highlight w:val="none"/>
          <w:lang w:bidi="ar"/>
        </w:rPr>
        <w:t>的绩效目标符合部门“三定”方案确定的职责</w:t>
      </w:r>
      <w:r>
        <w:rPr>
          <w:rStyle w:val="16"/>
          <w:rFonts w:hint="eastAsia" w:ascii="仿宋" w:hAnsi="仿宋" w:eastAsia="仿宋" w:cs="仿宋"/>
          <w:sz w:val="32"/>
          <w:szCs w:val="32"/>
          <w:highlight w:val="none"/>
          <w:lang w:val="en-US" w:eastAsia="zh-CN" w:bidi="ar"/>
        </w:rPr>
        <w:t>相符</w:t>
      </w:r>
      <w:r>
        <w:rPr>
          <w:rStyle w:val="16"/>
          <w:rFonts w:hint="eastAsia" w:ascii="仿宋" w:hAnsi="仿宋" w:eastAsia="仿宋" w:cs="仿宋"/>
          <w:sz w:val="32"/>
          <w:szCs w:val="32"/>
          <w:highlight w:val="none"/>
          <w:lang w:bidi="ar"/>
        </w:rPr>
        <w:t>。</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41E5D9B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（3）绩效指标清晰量化程度</w:t>
      </w:r>
    </w:p>
    <w:p w14:paraId="13290C6C">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kern w:val="2"/>
          <w:sz w:val="32"/>
          <w:szCs w:val="32"/>
          <w:lang w:val="en-US" w:eastAsia="zh-CN" w:bidi="ar"/>
        </w:rPr>
        <w:t>设置的</w:t>
      </w:r>
      <w:r>
        <w:rPr>
          <w:rFonts w:hint="eastAsia" w:ascii="仿宋" w:hAnsi="仿宋" w:eastAsia="仿宋" w:cs="仿宋"/>
          <w:color w:val="000000"/>
          <w:kern w:val="2"/>
          <w:sz w:val="32"/>
          <w:szCs w:val="32"/>
          <w:lang w:val="en-US" w:eastAsia="zh-CN" w:bidi="ar-SA"/>
        </w:rPr>
        <w:t>绩效目标基本具体细化为可量化评估的指标；绩效目标清晰可衡量</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4E48CDA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（4）绩效目标与年度任务对应性</w:t>
      </w:r>
    </w:p>
    <w:p w14:paraId="7A43C092">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Style w:val="14"/>
          <w:rFonts w:hint="eastAsia" w:ascii="仿宋" w:hAnsi="仿宋" w:eastAsia="仿宋" w:cs="仿宋"/>
          <w:color w:val="000000"/>
          <w:sz w:val="32"/>
          <w:szCs w:val="32"/>
          <w:lang w:val="en-US" w:eastAsia="zh-CN"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color w:val="auto"/>
          <w:kern w:val="2"/>
          <w:sz w:val="32"/>
          <w:szCs w:val="32"/>
          <w:lang w:val="en-US" w:eastAsia="zh-CN" w:bidi="ar"/>
        </w:rPr>
        <w:t>设置的绩效目标与年度的任务数或计划数相对应。</w:t>
      </w:r>
      <w:r>
        <w:rPr>
          <w:rFonts w:hint="eastAsia" w:ascii="仿宋" w:hAnsi="仿宋" w:eastAsia="仿宋" w:cs="仿宋"/>
          <w:kern w:val="2"/>
          <w:sz w:val="32"/>
          <w:szCs w:val="32"/>
          <w:lang w:val="en-US" w:eastAsia="zh-CN" w:bidi="ar"/>
        </w:rPr>
        <w:t>本项满分1分</w:t>
      </w:r>
      <w:r>
        <w:rPr>
          <w:rStyle w:val="16"/>
          <w:rFonts w:hint="eastAsia" w:ascii="仿宋" w:hAnsi="仿宋" w:eastAsia="仿宋" w:cs="仿宋"/>
          <w:sz w:val="32"/>
          <w:szCs w:val="32"/>
          <w:highlight w:val="none"/>
          <w:lang w:val="en-US" w:eastAsia="zh-CN" w:bidi="ar"/>
        </w:rPr>
        <w:t>，实际得分1分。</w:t>
      </w:r>
    </w:p>
    <w:p w14:paraId="616F8A1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（5）绩效目标与预算资金匹配性</w:t>
      </w:r>
    </w:p>
    <w:p w14:paraId="72DAA849">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b w:val="0"/>
          <w:bCs w:val="0"/>
          <w:color w:val="000000"/>
          <w:sz w:val="32"/>
          <w:szCs w:val="32"/>
          <w:highlight w:val="none"/>
          <w:lang w:val="en-US"/>
        </w:rPr>
        <w:t>林芝市</w:t>
      </w:r>
      <w:r>
        <w:rPr>
          <w:rFonts w:hint="eastAsia" w:ascii="仿宋" w:hAnsi="仿宋" w:eastAsia="仿宋" w:cs="仿宋"/>
          <w:b w:val="0"/>
          <w:bCs w:val="0"/>
          <w:color w:val="000000"/>
          <w:sz w:val="32"/>
          <w:szCs w:val="32"/>
          <w:highlight w:val="none"/>
          <w:lang w:val="en-US" w:eastAsia="zh-CN"/>
        </w:rPr>
        <w:t>技工学校（公共职业技能实训基地）</w:t>
      </w:r>
      <w:r>
        <w:rPr>
          <w:rStyle w:val="16"/>
          <w:rFonts w:hint="eastAsia" w:ascii="仿宋" w:hAnsi="仿宋" w:eastAsia="仿宋" w:cs="仿宋"/>
          <w:sz w:val="32"/>
          <w:szCs w:val="32"/>
          <w:highlight w:val="none"/>
          <w:lang w:eastAsia="zh-CN" w:bidi="ar"/>
        </w:rPr>
        <w:t>绩效目标与预算资金相匹配，</w:t>
      </w:r>
      <w:r>
        <w:rPr>
          <w:rStyle w:val="16"/>
          <w:rFonts w:hint="eastAsia" w:ascii="仿宋" w:hAnsi="仿宋" w:eastAsia="仿宋" w:cs="仿宋"/>
          <w:sz w:val="32"/>
          <w:szCs w:val="32"/>
          <w:highlight w:val="none"/>
          <w:lang w:val="en-US" w:eastAsia="zh-CN" w:bidi="ar"/>
        </w:rPr>
        <w:t>本项</w:t>
      </w:r>
      <w:r>
        <w:rPr>
          <w:rStyle w:val="16"/>
          <w:rFonts w:hint="eastAsia" w:ascii="仿宋" w:hAnsi="仿宋" w:eastAsia="仿宋" w:cs="仿宋"/>
          <w:sz w:val="32"/>
          <w:szCs w:val="32"/>
          <w:highlight w:val="none"/>
          <w:lang w:eastAsia="zh-CN" w:bidi="ar"/>
        </w:rPr>
        <w:t>满分2分，实际得分2分。</w:t>
      </w:r>
    </w:p>
    <w:p w14:paraId="7B4EF0EB">
      <w:pPr>
        <w:pStyle w:val="9"/>
        <w:autoSpaceDE w:val="0"/>
        <w:spacing w:line="360" w:lineRule="auto"/>
        <w:ind w:firstLine="643" w:firstLineChars="200"/>
        <w:rPr>
          <w:rFonts w:hint="eastAsia" w:ascii="仿宋" w:hAnsi="仿宋" w:eastAsia="仿宋" w:cs="仿宋"/>
          <w:b/>
          <w:bCs/>
          <w:sz w:val="32"/>
          <w:szCs w:val="32"/>
          <w:highlight w:val="none"/>
        </w:rPr>
      </w:pPr>
      <w:r>
        <w:rPr>
          <w:rStyle w:val="14"/>
          <w:rFonts w:hint="eastAsia" w:ascii="仿宋" w:hAnsi="仿宋" w:eastAsia="仿宋" w:cs="仿宋"/>
          <w:b/>
          <w:bCs/>
          <w:sz w:val="32"/>
          <w:szCs w:val="32"/>
          <w:highlight w:val="none"/>
          <w:lang w:bidi="ar"/>
        </w:rPr>
        <w:t>2.预算配置情况</w:t>
      </w:r>
    </w:p>
    <w:p w14:paraId="3832117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5"/>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（1</w:t>
      </w:r>
      <w:r>
        <w:rPr>
          <w:rStyle w:val="14"/>
          <w:rFonts w:hint="eastAsia" w:ascii="仿宋" w:hAnsi="仿宋" w:eastAsia="仿宋" w:cs="仿宋"/>
          <w:sz w:val="32"/>
          <w:szCs w:val="32"/>
          <w:highlight w:val="none"/>
          <w:lang w:eastAsia="zh-CN" w:bidi="ar"/>
        </w:rPr>
        <w:t>）</w:t>
      </w:r>
      <w:r>
        <w:rPr>
          <w:rStyle w:val="15"/>
          <w:rFonts w:hint="eastAsia" w:ascii="仿宋" w:hAnsi="仿宋" w:eastAsia="仿宋" w:cs="仿宋"/>
          <w:sz w:val="32"/>
          <w:szCs w:val="32"/>
          <w:highlight w:val="none"/>
          <w:lang w:bidi="ar"/>
        </w:rPr>
        <w:t>在职人员控制率</w:t>
      </w:r>
    </w:p>
    <w:p w14:paraId="6D7E47E5">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Style w:val="15"/>
          <w:rFonts w:hint="eastAsia" w:ascii="仿宋" w:hAnsi="仿宋" w:eastAsia="仿宋" w:cs="仿宋"/>
          <w:color w:val="000000"/>
          <w:sz w:val="32"/>
          <w:szCs w:val="32"/>
          <w:lang w:val="en-US" w:eastAsia="zh-CN" w:bidi="ar"/>
        </w:rPr>
      </w:pPr>
      <w:r>
        <w:rPr>
          <w:rFonts w:hint="eastAsia" w:ascii="仿宋" w:hAnsi="仿宋" w:eastAsia="仿宋" w:cs="仿宋"/>
          <w:sz w:val="32"/>
          <w:szCs w:val="32"/>
          <w:highlight w:val="none"/>
          <w:lang w:val="en-US" w:eastAsia="zh-CN"/>
        </w:rPr>
        <w:t>市技工学校</w:t>
      </w:r>
      <w:r>
        <w:rPr>
          <w:rStyle w:val="15"/>
          <w:rFonts w:hint="eastAsia" w:ascii="仿宋" w:hAnsi="仿宋" w:eastAsia="仿宋" w:cs="仿宋"/>
          <w:color w:val="000000"/>
          <w:sz w:val="32"/>
          <w:szCs w:val="32"/>
          <w:lang w:val="en-US" w:eastAsia="zh-CN" w:bidi="ar"/>
        </w:rPr>
        <w:t>2023年在职人员7人，核定编制7名，在职人员控制率为100.00%。本项满分3分，实际得分3分。</w:t>
      </w:r>
    </w:p>
    <w:p w14:paraId="58F0AF0B">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（2）“三公经费”变动率</w:t>
      </w:r>
    </w:p>
    <w:p w14:paraId="1A2288AA">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bookmarkStart w:id="21" w:name="OLE_LINK2"/>
      <w:r>
        <w:rPr>
          <w:rFonts w:hint="eastAsia" w:ascii="仿宋" w:hAnsi="仿宋" w:eastAsia="仿宋" w:cs="仿宋"/>
          <w:sz w:val="32"/>
          <w:szCs w:val="32"/>
          <w:highlight w:val="none"/>
          <w:lang w:val="en-US" w:eastAsia="zh-CN"/>
        </w:rPr>
        <w:t>市技工学校</w:t>
      </w:r>
      <w:r>
        <w:rPr>
          <w:rStyle w:val="14"/>
          <w:rFonts w:hint="eastAsia" w:ascii="仿宋" w:hAnsi="仿宋" w:eastAsia="仿宋" w:cs="仿宋"/>
          <w:color w:val="000000"/>
          <w:sz w:val="32"/>
          <w:szCs w:val="32"/>
          <w:lang w:val="en-US" w:eastAsia="zh-CN" w:bidi="ar"/>
        </w:rPr>
        <w:t>2023年三公经费预算数为7.00万元，因市技工学校2023年新开设独立账户，故没有上年数据。2022年三公经费预算数为0.00万元，三公经费变动率为0,</w:t>
      </w:r>
      <w:bookmarkEnd w:id="21"/>
      <w:r>
        <w:rPr>
          <w:rStyle w:val="14"/>
          <w:rFonts w:hint="eastAsia" w:ascii="仿宋" w:hAnsi="仿宋" w:eastAsia="仿宋" w:cs="仿宋"/>
          <w:color w:val="000000"/>
          <w:sz w:val="32"/>
          <w:szCs w:val="32"/>
          <w:lang w:val="en-US" w:eastAsia="zh-CN" w:bidi="ar"/>
        </w:rPr>
        <w:t>本项满分3分，扣2分，实际得分1分。</w:t>
      </w:r>
    </w:p>
    <w:p w14:paraId="533EF401">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Style w:val="14"/>
          <w:rFonts w:hint="eastAsia" w:ascii="仿宋" w:hAnsi="仿宋" w:eastAsia="仿宋" w:cs="仿宋"/>
          <w:sz w:val="32"/>
          <w:szCs w:val="32"/>
          <w:highlight w:val="none"/>
          <w:lang w:bidi="ar"/>
        </w:rPr>
      </w:pPr>
      <w:r>
        <w:rPr>
          <w:rStyle w:val="14"/>
          <w:rFonts w:hint="eastAsia" w:ascii="仿宋" w:hAnsi="仿宋" w:eastAsia="仿宋" w:cs="仿宋"/>
          <w:sz w:val="32"/>
          <w:szCs w:val="32"/>
          <w:highlight w:val="none"/>
          <w:lang w:bidi="ar"/>
        </w:rPr>
        <w:t>（3）重点支出安排率</w:t>
      </w:r>
    </w:p>
    <w:p w14:paraId="54CA1850">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Style w:val="14"/>
          <w:rFonts w:hint="eastAsia" w:ascii="仿宋" w:hAnsi="仿宋" w:eastAsia="仿宋" w:cs="仿宋"/>
          <w:color w:val="000000"/>
          <w:sz w:val="32"/>
          <w:szCs w:val="32"/>
          <w:lang w:val="en-US" w:eastAsia="zh-CN" w:bidi="ar"/>
        </w:rPr>
      </w:pPr>
      <w:r>
        <w:rPr>
          <w:rFonts w:hint="eastAsia" w:ascii="仿宋" w:hAnsi="仿宋" w:eastAsia="仿宋" w:cs="仿宋"/>
          <w:sz w:val="32"/>
          <w:szCs w:val="32"/>
          <w:highlight w:val="none"/>
          <w:lang w:val="en-US" w:eastAsia="zh-CN"/>
        </w:rPr>
        <w:t>市技工学校</w:t>
      </w:r>
      <w:r>
        <w:rPr>
          <w:rStyle w:val="16"/>
          <w:rFonts w:hint="eastAsia" w:ascii="仿宋" w:hAnsi="仿宋" w:eastAsia="仿宋" w:cs="仿宋"/>
          <w:sz w:val="32"/>
          <w:szCs w:val="32"/>
          <w:highlight w:val="none"/>
          <w:lang w:bidi="ar"/>
        </w:rPr>
        <w:t>将项目支出金额大于</w:t>
      </w:r>
      <w:r>
        <w:rPr>
          <w:rStyle w:val="16"/>
          <w:rFonts w:hint="eastAsia" w:ascii="仿宋" w:hAnsi="仿宋" w:eastAsia="仿宋" w:cs="仿宋"/>
          <w:sz w:val="32"/>
          <w:szCs w:val="32"/>
          <w:highlight w:val="none"/>
          <w:lang w:val="en-US" w:eastAsia="zh-CN" w:bidi="ar"/>
        </w:rPr>
        <w:t>5.00</w:t>
      </w:r>
      <w:r>
        <w:rPr>
          <w:rStyle w:val="16"/>
          <w:rFonts w:hint="eastAsia" w:ascii="仿宋" w:hAnsi="仿宋" w:eastAsia="仿宋" w:cs="仿宋"/>
          <w:sz w:val="32"/>
          <w:szCs w:val="32"/>
          <w:highlight w:val="none"/>
          <w:lang w:bidi="ar"/>
        </w:rPr>
        <w:t>万元的列为</w:t>
      </w:r>
      <w:r>
        <w:rPr>
          <w:rStyle w:val="16"/>
          <w:rFonts w:hint="eastAsia" w:ascii="仿宋" w:hAnsi="仿宋" w:eastAsia="仿宋" w:cs="仿宋"/>
          <w:sz w:val="32"/>
          <w:szCs w:val="32"/>
          <w:highlight w:val="none"/>
          <w:lang w:val="en-US" w:eastAsia="zh-CN" w:bidi="ar"/>
        </w:rPr>
        <w:t>重</w:t>
      </w:r>
      <w:r>
        <w:rPr>
          <w:rStyle w:val="16"/>
          <w:rFonts w:hint="eastAsia" w:ascii="仿宋" w:hAnsi="仿宋" w:eastAsia="仿宋" w:cs="仿宋"/>
          <w:sz w:val="32"/>
          <w:szCs w:val="32"/>
          <w:highlight w:val="none"/>
          <w:lang w:bidi="ar"/>
        </w:rPr>
        <w:t>点项目</w:t>
      </w:r>
      <w:r>
        <w:rPr>
          <w:rStyle w:val="14"/>
          <w:rFonts w:hint="eastAsia" w:ascii="仿宋" w:hAnsi="仿宋" w:eastAsia="仿宋" w:cs="仿宋"/>
          <w:color w:val="000000"/>
          <w:sz w:val="32"/>
          <w:szCs w:val="32"/>
          <w:lang w:val="en-US" w:eastAsia="zh-CN" w:bidi="ar"/>
        </w:rPr>
        <w:t>，2023年重点项</w:t>
      </w:r>
      <w:r>
        <w:rPr>
          <w:rStyle w:val="16"/>
          <w:rFonts w:hint="eastAsia" w:ascii="仿宋" w:hAnsi="仿宋" w:eastAsia="仿宋" w:cs="仿宋"/>
          <w:sz w:val="32"/>
          <w:szCs w:val="32"/>
          <w:highlight w:val="none"/>
          <w:lang w:bidi="ar"/>
        </w:rPr>
        <w:t>目</w:t>
      </w:r>
      <w:r>
        <w:rPr>
          <w:rStyle w:val="16"/>
          <w:rFonts w:hint="eastAsia" w:ascii="仿宋" w:hAnsi="仿宋" w:eastAsia="仿宋" w:cs="仿宋"/>
          <w:sz w:val="32"/>
          <w:szCs w:val="32"/>
          <w:highlight w:val="none"/>
          <w:lang w:val="en-US" w:eastAsia="zh-CN" w:bidi="ar"/>
        </w:rPr>
        <w:t>8</w:t>
      </w:r>
      <w:r>
        <w:rPr>
          <w:rStyle w:val="16"/>
          <w:rFonts w:hint="eastAsia" w:ascii="仿宋" w:hAnsi="仿宋" w:eastAsia="仿宋" w:cs="仿宋"/>
          <w:sz w:val="32"/>
          <w:szCs w:val="32"/>
          <w:highlight w:val="none"/>
          <w:lang w:bidi="ar"/>
        </w:rPr>
        <w:t>个，合计金额为</w:t>
      </w:r>
      <w:r>
        <w:rPr>
          <w:rStyle w:val="16"/>
          <w:rFonts w:hint="eastAsia" w:ascii="仿宋" w:hAnsi="仿宋" w:eastAsia="仿宋" w:cs="仿宋"/>
          <w:sz w:val="32"/>
          <w:szCs w:val="32"/>
          <w:highlight w:val="none"/>
          <w:lang w:val="en-US" w:eastAsia="zh-CN" w:bidi="ar"/>
        </w:rPr>
        <w:t>1,111</w:t>
      </w:r>
      <w:r>
        <w:rPr>
          <w:rStyle w:val="16"/>
          <w:rFonts w:hint="eastAsia" w:ascii="仿宋" w:hAnsi="仿宋" w:eastAsia="仿宋" w:cs="仿宋"/>
          <w:sz w:val="32"/>
          <w:szCs w:val="32"/>
          <w:highlight w:val="none"/>
          <w:lang w:bidi="ar"/>
        </w:rPr>
        <w:t>.</w:t>
      </w:r>
      <w:r>
        <w:rPr>
          <w:rStyle w:val="16"/>
          <w:rFonts w:hint="eastAsia" w:ascii="仿宋" w:hAnsi="仿宋" w:eastAsia="仿宋" w:cs="仿宋"/>
          <w:sz w:val="32"/>
          <w:szCs w:val="32"/>
          <w:highlight w:val="none"/>
          <w:lang w:val="en-US" w:eastAsia="zh-CN" w:bidi="ar"/>
        </w:rPr>
        <w:t>50</w:t>
      </w:r>
      <w:r>
        <w:rPr>
          <w:rStyle w:val="16"/>
          <w:rFonts w:hint="eastAsia" w:ascii="仿宋" w:hAnsi="仿宋" w:eastAsia="仿宋" w:cs="仿宋"/>
          <w:sz w:val="32"/>
          <w:szCs w:val="32"/>
          <w:highlight w:val="none"/>
          <w:lang w:bidi="ar"/>
        </w:rPr>
        <w:t>万元</w:t>
      </w:r>
      <w:r>
        <w:rPr>
          <w:rStyle w:val="16"/>
          <w:rFonts w:hint="eastAsia" w:ascii="仿宋" w:hAnsi="仿宋" w:eastAsia="仿宋" w:cs="仿宋"/>
          <w:sz w:val="32"/>
          <w:szCs w:val="32"/>
          <w:highlight w:val="none"/>
          <w:lang w:eastAsia="zh-CN" w:bidi="ar"/>
        </w:rPr>
        <w:t>，</w:t>
      </w:r>
      <w:r>
        <w:rPr>
          <w:rStyle w:val="16"/>
          <w:rFonts w:hint="eastAsia" w:ascii="仿宋" w:hAnsi="仿宋" w:eastAsia="仿宋" w:cs="仿宋"/>
          <w:sz w:val="32"/>
          <w:szCs w:val="32"/>
          <w:highlight w:val="none"/>
          <w:lang w:bidi="ar"/>
        </w:rPr>
        <w:t>项目总支出</w:t>
      </w:r>
      <w:r>
        <w:rPr>
          <w:rStyle w:val="16"/>
          <w:rFonts w:hint="eastAsia" w:ascii="仿宋" w:hAnsi="仿宋" w:eastAsia="仿宋" w:cs="仿宋"/>
          <w:sz w:val="32"/>
          <w:szCs w:val="32"/>
          <w:highlight w:val="none"/>
          <w:lang w:val="en-US" w:eastAsia="zh-CN" w:bidi="ar"/>
        </w:rPr>
        <w:t>1,113.30</w:t>
      </w:r>
      <w:r>
        <w:rPr>
          <w:rStyle w:val="16"/>
          <w:rFonts w:hint="eastAsia" w:ascii="仿宋" w:hAnsi="仿宋" w:eastAsia="仿宋" w:cs="仿宋"/>
          <w:sz w:val="32"/>
          <w:szCs w:val="32"/>
          <w:highlight w:val="none"/>
          <w:lang w:bidi="ar"/>
        </w:rPr>
        <w:t>万元。重点项目安排率为</w:t>
      </w:r>
      <w:r>
        <w:rPr>
          <w:rStyle w:val="16"/>
          <w:rFonts w:hint="eastAsia" w:ascii="仿宋" w:hAnsi="仿宋" w:eastAsia="仿宋" w:cs="仿宋"/>
          <w:sz w:val="32"/>
          <w:szCs w:val="32"/>
          <w:highlight w:val="none"/>
          <w:lang w:val="en-US" w:eastAsia="zh-CN" w:bidi="ar"/>
        </w:rPr>
        <w:t>99.84</w:t>
      </w:r>
      <w:r>
        <w:rPr>
          <w:rStyle w:val="16"/>
          <w:rFonts w:hint="eastAsia" w:ascii="仿宋" w:hAnsi="仿宋" w:eastAsia="仿宋" w:cs="仿宋"/>
          <w:sz w:val="32"/>
          <w:szCs w:val="32"/>
          <w:highlight w:val="none"/>
          <w:lang w:bidi="ar"/>
        </w:rPr>
        <w:t>%</w:t>
      </w:r>
      <w:r>
        <w:rPr>
          <w:rStyle w:val="14"/>
          <w:rFonts w:hint="eastAsia" w:ascii="仿宋" w:hAnsi="仿宋" w:eastAsia="仿宋" w:cs="仿宋"/>
          <w:color w:val="000000"/>
          <w:sz w:val="32"/>
          <w:szCs w:val="32"/>
          <w:lang w:val="en-US" w:eastAsia="zh-CN" w:bidi="ar"/>
        </w:rPr>
        <w:t>。本项满分3分，实际得分3分。</w:t>
      </w:r>
    </w:p>
    <w:p w14:paraId="3B85D70E">
      <w:pPr>
        <w:pStyle w:val="9"/>
        <w:keepNext w:val="0"/>
        <w:keepLines w:val="0"/>
        <w:pageBreakBefore w:val="0"/>
        <w:widowControl/>
        <w:kinsoku/>
        <w:wordWrap/>
        <w:overflowPunct/>
        <w:topLinePunct w:val="0"/>
        <w:autoSpaceDE/>
        <w:autoSpaceDN/>
        <w:bidi w:val="0"/>
        <w:adjustRightInd/>
        <w:snapToGrid/>
        <w:spacing w:before="165" w:beforeLines="50" w:after="165" w:afterLines="50"/>
        <w:ind w:firstLine="482"/>
        <w:textAlignment w:val="auto"/>
        <w:outlineLvl w:val="1"/>
        <w:rPr>
          <w:rFonts w:hint="eastAsia" w:ascii="仿宋" w:hAnsi="仿宋" w:eastAsia="仿宋" w:cs="仿宋"/>
          <w:b/>
          <w:bCs/>
          <w:sz w:val="32"/>
          <w:szCs w:val="32"/>
          <w:highlight w:val="none"/>
        </w:rPr>
      </w:pPr>
      <w:bookmarkStart w:id="22" w:name="_Toc14711"/>
      <w:r>
        <w:rPr>
          <w:rFonts w:hint="eastAsia" w:ascii="仿宋" w:hAnsi="仿宋" w:eastAsia="仿宋" w:cs="仿宋"/>
          <w:b/>
          <w:bCs/>
          <w:sz w:val="32"/>
          <w:szCs w:val="32"/>
          <w:highlight w:val="none"/>
          <w:lang w:bidi="ar"/>
        </w:rPr>
        <w:t>（二）项目过程情况</w:t>
      </w:r>
      <w:bookmarkEnd w:id="22"/>
    </w:p>
    <w:p w14:paraId="4A9A6B4B">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lang w:bidi="ar"/>
        </w:rPr>
        <w:t>从预算执行、预算管理、资产管理三个方面进行评价，满分为49分，总得分</w:t>
      </w:r>
      <w:r>
        <w:rPr>
          <w:rFonts w:hint="eastAsia" w:ascii="仿宋" w:hAnsi="仿宋" w:eastAsia="仿宋" w:cs="仿宋"/>
          <w:kern w:val="2"/>
          <w:sz w:val="32"/>
          <w:szCs w:val="32"/>
          <w:highlight w:val="none"/>
          <w:lang w:val="en-US" w:eastAsia="zh-CN" w:bidi="ar"/>
        </w:rPr>
        <w:t>43</w:t>
      </w:r>
      <w:r>
        <w:rPr>
          <w:rFonts w:hint="eastAsia" w:ascii="仿宋" w:hAnsi="仿宋" w:eastAsia="仿宋" w:cs="仿宋"/>
          <w:kern w:val="2"/>
          <w:sz w:val="32"/>
          <w:szCs w:val="32"/>
          <w:highlight w:val="none"/>
          <w:lang w:bidi="ar"/>
        </w:rPr>
        <w:t>分。</w:t>
      </w:r>
    </w:p>
    <w:p w14:paraId="5EFED70C">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表4-2项目过程情况得分表</w:t>
      </w:r>
    </w:p>
    <w:p w14:paraId="4EE4D9F3">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jc w:val="center"/>
        <w:textAlignment w:val="auto"/>
        <w:rPr>
          <w:rFonts w:hint="eastAsia" w:ascii="仿宋" w:hAnsi="仿宋" w:eastAsia="仿宋" w:cs="仿宋"/>
          <w:b/>
          <w:bCs/>
          <w:sz w:val="32"/>
          <w:szCs w:val="32"/>
          <w:highlight w:val="none"/>
        </w:rPr>
      </w:pP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27"/>
        <w:gridCol w:w="1537"/>
        <w:gridCol w:w="2910"/>
        <w:gridCol w:w="1110"/>
        <w:gridCol w:w="1065"/>
      </w:tblGrid>
      <w:tr w14:paraId="54380C00">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blHeader/>
          <w:jc w:val="center"/>
        </w:trPr>
        <w:tc>
          <w:tcPr>
            <w:tcW w:w="1246" w:type="dxa"/>
            <w:tcBorders>
              <w:top w:val="single" w:color="auto" w:sz="8" w:space="0"/>
              <w:left w:val="nil"/>
              <w:bottom w:val="dotted" w:color="auto" w:sz="4" w:space="0"/>
              <w:right w:val="dotted" w:color="auto" w:sz="4" w:space="0"/>
            </w:tcBorders>
            <w:noWrap/>
            <w:vAlign w:val="center"/>
          </w:tcPr>
          <w:p w14:paraId="36713A77">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27" w:type="dxa"/>
            <w:tcBorders>
              <w:top w:val="single" w:color="auto" w:sz="8" w:space="0"/>
              <w:left w:val="dotted" w:color="auto" w:sz="4" w:space="0"/>
              <w:bottom w:val="dotted" w:color="auto" w:sz="4" w:space="0"/>
              <w:right w:val="dotted" w:color="auto" w:sz="4" w:space="0"/>
            </w:tcBorders>
            <w:noWrap/>
            <w:vAlign w:val="center"/>
          </w:tcPr>
          <w:p w14:paraId="5F9BB40D">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537" w:type="dxa"/>
            <w:tcBorders>
              <w:top w:val="single" w:color="auto" w:sz="8" w:space="0"/>
              <w:left w:val="dotted" w:color="auto" w:sz="4" w:space="0"/>
              <w:bottom w:val="dotted" w:color="auto" w:sz="4" w:space="0"/>
              <w:right w:val="dotted" w:color="auto" w:sz="4" w:space="0"/>
            </w:tcBorders>
            <w:noWrap/>
            <w:vAlign w:val="center"/>
          </w:tcPr>
          <w:p w14:paraId="0954885A">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910" w:type="dxa"/>
            <w:tcBorders>
              <w:top w:val="single" w:color="auto" w:sz="8" w:space="0"/>
              <w:left w:val="dotted" w:color="auto" w:sz="4" w:space="0"/>
              <w:bottom w:val="dotted" w:color="auto" w:sz="4" w:space="0"/>
              <w:right w:val="dotted" w:color="auto" w:sz="4" w:space="0"/>
            </w:tcBorders>
            <w:noWrap/>
            <w:vAlign w:val="center"/>
          </w:tcPr>
          <w:p w14:paraId="7FB67EE2">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10" w:type="dxa"/>
            <w:tcBorders>
              <w:top w:val="single" w:color="auto" w:sz="8" w:space="0"/>
              <w:left w:val="dotted" w:color="auto" w:sz="4" w:space="0"/>
              <w:bottom w:val="dotted" w:color="auto" w:sz="4" w:space="0"/>
              <w:right w:val="dotted" w:color="auto" w:sz="4" w:space="0"/>
            </w:tcBorders>
            <w:noWrap/>
            <w:vAlign w:val="center"/>
          </w:tcPr>
          <w:p w14:paraId="1DA84026">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065" w:type="dxa"/>
            <w:tcBorders>
              <w:top w:val="single" w:color="auto" w:sz="8" w:space="0"/>
              <w:left w:val="dotted" w:color="auto" w:sz="4" w:space="0"/>
              <w:bottom w:val="dotted" w:color="auto" w:sz="4" w:space="0"/>
              <w:right w:val="nil"/>
            </w:tcBorders>
            <w:noWrap/>
            <w:vAlign w:val="center"/>
          </w:tcPr>
          <w:p w14:paraId="17BB599E">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2B58D69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bottom w:val="dotted" w:color="auto" w:sz="4" w:space="0"/>
              <w:right w:val="dotted" w:color="auto" w:sz="4" w:space="0"/>
            </w:tcBorders>
            <w:noWrap/>
            <w:vAlign w:val="center"/>
          </w:tcPr>
          <w:p w14:paraId="73D657D4">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过程</w:t>
            </w:r>
          </w:p>
        </w:tc>
        <w:tc>
          <w:tcPr>
            <w:tcW w:w="727" w:type="dxa"/>
            <w:vMerge w:val="restart"/>
            <w:tcBorders>
              <w:top w:val="dotted" w:color="auto" w:sz="4" w:space="0"/>
              <w:left w:val="dotted" w:color="auto" w:sz="4" w:space="0"/>
              <w:bottom w:val="dotted" w:color="auto" w:sz="4" w:space="0"/>
              <w:right w:val="dotted" w:color="auto" w:sz="4" w:space="0"/>
            </w:tcBorders>
            <w:noWrap/>
            <w:vAlign w:val="center"/>
          </w:tcPr>
          <w:p w14:paraId="6310FDEB">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49</w:t>
            </w:r>
          </w:p>
        </w:tc>
        <w:tc>
          <w:tcPr>
            <w:tcW w:w="1537" w:type="dxa"/>
            <w:vMerge w:val="restart"/>
            <w:tcBorders>
              <w:top w:val="dotted" w:color="auto" w:sz="4" w:space="0"/>
              <w:left w:val="dotted" w:color="auto" w:sz="4" w:space="0"/>
              <w:bottom w:val="dotted" w:color="auto" w:sz="4" w:space="0"/>
              <w:right w:val="dotted" w:color="auto" w:sz="4" w:space="0"/>
            </w:tcBorders>
            <w:noWrap w:val="0"/>
            <w:vAlign w:val="center"/>
          </w:tcPr>
          <w:p w14:paraId="502701F9">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预算执行</w:t>
            </w:r>
          </w:p>
          <w:p w14:paraId="42B1F79D">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5A32015F">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预算完成率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16D77738">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11</w:t>
            </w:r>
          </w:p>
        </w:tc>
        <w:tc>
          <w:tcPr>
            <w:tcW w:w="1065" w:type="dxa"/>
            <w:tcBorders>
              <w:top w:val="dotted" w:color="auto" w:sz="4" w:space="0"/>
              <w:left w:val="dotted" w:color="auto" w:sz="4" w:space="0"/>
              <w:bottom w:val="dotted" w:color="auto" w:sz="4" w:space="0"/>
              <w:right w:val="nil"/>
            </w:tcBorders>
            <w:noWrap/>
            <w:vAlign w:val="center"/>
          </w:tcPr>
          <w:p w14:paraId="262B9A3C">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8</w:t>
            </w:r>
          </w:p>
        </w:tc>
      </w:tr>
      <w:tr w14:paraId="47DCA632">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02C741B">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54BBFF4">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04AE8069">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69ED9318">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预算调整率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48CD0A46">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6450ECED">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1</w:t>
            </w:r>
          </w:p>
        </w:tc>
      </w:tr>
      <w:tr w14:paraId="7822BAE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6C2D0B63">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14D9B071">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7C3A3EFE">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11628081">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1613F326">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6</w:t>
            </w:r>
          </w:p>
        </w:tc>
        <w:tc>
          <w:tcPr>
            <w:tcW w:w="1065" w:type="dxa"/>
            <w:tcBorders>
              <w:top w:val="dotted" w:color="auto" w:sz="4" w:space="0"/>
              <w:left w:val="dotted" w:color="auto" w:sz="4" w:space="0"/>
              <w:bottom w:val="dotted" w:color="auto" w:sz="4" w:space="0"/>
              <w:right w:val="nil"/>
            </w:tcBorders>
            <w:noWrap/>
            <w:vAlign w:val="center"/>
          </w:tcPr>
          <w:p w14:paraId="7C5ACAC9">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6</w:t>
            </w:r>
          </w:p>
        </w:tc>
      </w:tr>
      <w:tr w14:paraId="4C262381">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C60845F">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39EE5CB">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355EB389">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0"/>
            <w:vAlign w:val="center"/>
          </w:tcPr>
          <w:p w14:paraId="6063A6C7">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结转结余变动率</w:t>
            </w:r>
          </w:p>
        </w:tc>
        <w:tc>
          <w:tcPr>
            <w:tcW w:w="1110" w:type="dxa"/>
            <w:tcBorders>
              <w:top w:val="dotted" w:color="auto" w:sz="4" w:space="0"/>
              <w:left w:val="dotted" w:color="auto" w:sz="4" w:space="0"/>
              <w:bottom w:val="dotted" w:color="auto" w:sz="4" w:space="0"/>
              <w:right w:val="dotted" w:color="auto" w:sz="4" w:space="0"/>
            </w:tcBorders>
            <w:noWrap w:val="0"/>
            <w:vAlign w:val="center"/>
          </w:tcPr>
          <w:p w14:paraId="2B3F2FDC">
            <w:pPr>
              <w:widowControl/>
              <w:autoSpaceDE w:val="0"/>
              <w:spacing w:line="240" w:lineRule="auto"/>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65" w:type="dxa"/>
            <w:tcBorders>
              <w:top w:val="dotted" w:color="auto" w:sz="4" w:space="0"/>
              <w:left w:val="dotted" w:color="auto" w:sz="4" w:space="0"/>
              <w:bottom w:val="dotted" w:color="auto" w:sz="4" w:space="0"/>
              <w:right w:val="nil"/>
            </w:tcBorders>
            <w:noWrap/>
            <w:vAlign w:val="center"/>
          </w:tcPr>
          <w:p w14:paraId="5A819942">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w:t>
            </w:r>
            <w:bookmarkStart w:id="32" w:name="_GoBack"/>
            <w:bookmarkEnd w:id="32"/>
          </w:p>
        </w:tc>
      </w:tr>
      <w:tr w14:paraId="13392033">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0527444">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9DB613C">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7A57717E">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156D1EF7">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公用经费控制率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3C9C47F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5FBEE8C6">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276D3A3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AB5A7F7">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75773845">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75B848A7">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0B5ACE4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“三公经费”控制率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74DF23DC">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2906295A">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bidi="ar"/>
              </w:rPr>
            </w:pPr>
            <w:r>
              <w:rPr>
                <w:rFonts w:hint="eastAsia" w:ascii="仿宋" w:hAnsi="仿宋" w:eastAsia="仿宋" w:cs="仿宋"/>
                <w:color w:val="000000"/>
                <w:kern w:val="0"/>
                <w:sz w:val="24"/>
                <w:szCs w:val="24"/>
                <w:highlight w:val="none"/>
                <w:lang w:val="en-US" w:eastAsia="zh-CN" w:bidi="ar"/>
              </w:rPr>
              <w:t>1</w:t>
            </w:r>
          </w:p>
        </w:tc>
      </w:tr>
      <w:tr w14:paraId="7E785795">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BA28FFE">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457555E7">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0"/>
            <w:vAlign w:val="center"/>
          </w:tcPr>
          <w:p w14:paraId="2CB33C9B">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44620D4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政府采购执行率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3802A46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44E6AA80">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14:paraId="3D144E76">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FE3AC3A">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5143ABE">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1A4A2ABE">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预算管理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59C3F9A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6724056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28FE4A7B">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p>
        </w:tc>
      </w:tr>
      <w:tr w14:paraId="782DB99D">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54115840">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60E72B6">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6DDFA7A6">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454AFC6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资金使用合规性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14FCDA22">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0DE7A8AB">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07AA942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2C40A4D">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7149802">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19FEF20B">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5BDD0DE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预决算信息公开性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6B2A1B02">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1DAACE6D">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20ED065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3201D4F3">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5472328D">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610613D2">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038BEAEB">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基础信息完善性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2815822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3AFE08D3">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5E8ACE15">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1DF2507">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6D2E1BF6">
            <w:pPr>
              <w:rPr>
                <w:rFonts w:hint="eastAsia" w:ascii="仿宋" w:hAnsi="仿宋" w:eastAsia="仿宋" w:cs="仿宋"/>
                <w:sz w:val="24"/>
                <w:szCs w:val="24"/>
                <w:highlight w:val="none"/>
              </w:rPr>
            </w:pPr>
          </w:p>
        </w:tc>
        <w:tc>
          <w:tcPr>
            <w:tcW w:w="1537" w:type="dxa"/>
            <w:vMerge w:val="restart"/>
            <w:tcBorders>
              <w:top w:val="dotted" w:color="auto" w:sz="4" w:space="0"/>
              <w:left w:val="dotted" w:color="auto" w:sz="4" w:space="0"/>
              <w:bottom w:val="dotted" w:color="auto" w:sz="4" w:space="0"/>
              <w:right w:val="dotted" w:color="auto" w:sz="4" w:space="0"/>
            </w:tcBorders>
            <w:noWrap/>
            <w:vAlign w:val="center"/>
          </w:tcPr>
          <w:p w14:paraId="661D1EC7">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w:t>
            </w:r>
          </w:p>
        </w:tc>
        <w:tc>
          <w:tcPr>
            <w:tcW w:w="2910" w:type="dxa"/>
            <w:tcBorders>
              <w:top w:val="dotted" w:color="auto" w:sz="4" w:space="0"/>
              <w:left w:val="dotted" w:color="auto" w:sz="4" w:space="0"/>
              <w:bottom w:val="dotted" w:color="auto" w:sz="4" w:space="0"/>
              <w:right w:val="dotted" w:color="auto" w:sz="4" w:space="0"/>
            </w:tcBorders>
            <w:noWrap/>
            <w:vAlign w:val="center"/>
          </w:tcPr>
          <w:p w14:paraId="2CEA7D8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管理制度健全性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10B8FBFB">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3</w:t>
            </w:r>
          </w:p>
        </w:tc>
        <w:tc>
          <w:tcPr>
            <w:tcW w:w="1065" w:type="dxa"/>
            <w:tcBorders>
              <w:top w:val="dotted" w:color="auto" w:sz="4" w:space="0"/>
              <w:left w:val="dotted" w:color="auto" w:sz="4" w:space="0"/>
              <w:bottom w:val="dotted" w:color="auto" w:sz="4" w:space="0"/>
              <w:right w:val="nil"/>
            </w:tcBorders>
            <w:noWrap/>
            <w:vAlign w:val="center"/>
          </w:tcPr>
          <w:p w14:paraId="14C3FC44">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2</w:t>
            </w:r>
          </w:p>
        </w:tc>
      </w:tr>
      <w:tr w14:paraId="1FC9A409">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74705826">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329F4CCD">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5CA7F8C6">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099616F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资产管理安全性</w:t>
            </w:r>
          </w:p>
        </w:tc>
        <w:tc>
          <w:tcPr>
            <w:tcW w:w="1110" w:type="dxa"/>
            <w:tcBorders>
              <w:top w:val="dotted" w:color="auto" w:sz="4" w:space="0"/>
              <w:left w:val="dotted" w:color="auto" w:sz="4" w:space="0"/>
              <w:bottom w:val="dotted" w:color="auto" w:sz="4" w:space="0"/>
              <w:right w:val="dotted" w:color="auto" w:sz="4" w:space="0"/>
            </w:tcBorders>
            <w:noWrap/>
            <w:vAlign w:val="center"/>
          </w:tcPr>
          <w:p w14:paraId="55292F6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1065" w:type="dxa"/>
            <w:tcBorders>
              <w:top w:val="dotted" w:color="auto" w:sz="4" w:space="0"/>
              <w:left w:val="dotted" w:color="auto" w:sz="4" w:space="0"/>
              <w:bottom w:val="dotted" w:color="auto" w:sz="4" w:space="0"/>
              <w:right w:val="nil"/>
            </w:tcBorders>
            <w:noWrap/>
            <w:vAlign w:val="center"/>
          </w:tcPr>
          <w:p w14:paraId="62C2B30D">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5</w:t>
            </w:r>
          </w:p>
        </w:tc>
      </w:tr>
      <w:tr w14:paraId="584D46E8">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40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17A966B9">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C004EEC">
            <w:pPr>
              <w:rPr>
                <w:rFonts w:hint="eastAsia" w:ascii="仿宋" w:hAnsi="仿宋" w:eastAsia="仿宋" w:cs="仿宋"/>
                <w:sz w:val="24"/>
                <w:szCs w:val="24"/>
                <w:highlight w:val="none"/>
              </w:rPr>
            </w:pPr>
          </w:p>
        </w:tc>
        <w:tc>
          <w:tcPr>
            <w:tcW w:w="1537" w:type="dxa"/>
            <w:vMerge w:val="continue"/>
            <w:tcBorders>
              <w:top w:val="dotted" w:color="auto" w:sz="4" w:space="0"/>
              <w:left w:val="dotted" w:color="auto" w:sz="4" w:space="0"/>
              <w:bottom w:val="dotted" w:color="auto" w:sz="4" w:space="0"/>
              <w:right w:val="dotted" w:color="auto" w:sz="4" w:space="0"/>
            </w:tcBorders>
            <w:noWrap/>
            <w:vAlign w:val="center"/>
          </w:tcPr>
          <w:p w14:paraId="09E68F0B">
            <w:pPr>
              <w:rPr>
                <w:rFonts w:hint="eastAsia" w:ascii="仿宋" w:hAnsi="仿宋" w:eastAsia="仿宋" w:cs="仿宋"/>
                <w:sz w:val="24"/>
                <w:szCs w:val="24"/>
                <w:highlight w:val="none"/>
              </w:rPr>
            </w:pPr>
          </w:p>
        </w:tc>
        <w:tc>
          <w:tcPr>
            <w:tcW w:w="2910" w:type="dxa"/>
            <w:tcBorders>
              <w:top w:val="dotted" w:color="auto" w:sz="4" w:space="0"/>
              <w:left w:val="dotted" w:color="auto" w:sz="4" w:space="0"/>
              <w:bottom w:val="dotted" w:color="auto" w:sz="4" w:space="0"/>
              <w:right w:val="dotted" w:color="auto" w:sz="4" w:space="0"/>
            </w:tcBorders>
            <w:noWrap/>
            <w:vAlign w:val="center"/>
          </w:tcPr>
          <w:p w14:paraId="2AFD4744">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固定资产利用率</w:t>
            </w:r>
          </w:p>
        </w:tc>
        <w:tc>
          <w:tcPr>
            <w:tcW w:w="1110" w:type="dxa"/>
            <w:tcBorders>
              <w:top w:val="dotted" w:color="auto" w:sz="4" w:space="0"/>
              <w:left w:val="dotted" w:color="auto" w:sz="4" w:space="0"/>
              <w:bottom w:val="dotted" w:color="auto" w:sz="4" w:space="0"/>
              <w:right w:val="dotted" w:color="auto" w:sz="4" w:space="0"/>
            </w:tcBorders>
            <w:noWrap/>
            <w:vAlign w:val="center"/>
          </w:tcPr>
          <w:p w14:paraId="5E36684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2</w:t>
            </w:r>
          </w:p>
        </w:tc>
        <w:tc>
          <w:tcPr>
            <w:tcW w:w="1065" w:type="dxa"/>
            <w:tcBorders>
              <w:top w:val="dotted" w:color="auto" w:sz="4" w:space="0"/>
              <w:left w:val="dotted" w:color="auto" w:sz="4" w:space="0"/>
              <w:bottom w:val="dotted" w:color="auto" w:sz="4" w:space="0"/>
              <w:right w:val="nil"/>
            </w:tcBorders>
            <w:noWrap/>
            <w:vAlign w:val="center"/>
          </w:tcPr>
          <w:p w14:paraId="51BEAB86">
            <w:pPr>
              <w:widowControl/>
              <w:autoSpaceDE w:val="0"/>
              <w:spacing w:line="240" w:lineRule="auto"/>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2</w:t>
            </w:r>
          </w:p>
        </w:tc>
      </w:tr>
      <w:tr w14:paraId="39C0851E">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2E8B468F">
            <w:pPr>
              <w:rPr>
                <w:rFonts w:hint="eastAsia" w:ascii="仿宋" w:hAnsi="仿宋" w:eastAsia="仿宋" w:cs="仿宋"/>
                <w:sz w:val="24"/>
                <w:szCs w:val="24"/>
                <w:highlight w:val="none"/>
              </w:rPr>
            </w:pPr>
          </w:p>
        </w:tc>
        <w:tc>
          <w:tcPr>
            <w:tcW w:w="727" w:type="dxa"/>
            <w:vMerge w:val="continue"/>
            <w:tcBorders>
              <w:top w:val="dotted" w:color="auto" w:sz="4" w:space="0"/>
              <w:left w:val="dotted" w:color="auto" w:sz="4" w:space="0"/>
              <w:bottom w:val="dotted" w:color="auto" w:sz="4" w:space="0"/>
              <w:right w:val="dotted" w:color="auto" w:sz="4" w:space="0"/>
            </w:tcBorders>
            <w:noWrap/>
            <w:vAlign w:val="center"/>
          </w:tcPr>
          <w:p w14:paraId="296D5687">
            <w:pPr>
              <w:rPr>
                <w:rFonts w:hint="eastAsia" w:ascii="仿宋" w:hAnsi="仿宋" w:eastAsia="仿宋" w:cs="仿宋"/>
                <w:sz w:val="24"/>
                <w:szCs w:val="24"/>
                <w:highlight w:val="none"/>
              </w:rPr>
            </w:pPr>
          </w:p>
        </w:tc>
        <w:tc>
          <w:tcPr>
            <w:tcW w:w="4447" w:type="dxa"/>
            <w:gridSpan w:val="2"/>
            <w:tcBorders>
              <w:top w:val="dotted" w:color="auto" w:sz="4" w:space="0"/>
              <w:left w:val="dotted" w:color="auto" w:sz="4" w:space="0"/>
              <w:bottom w:val="single" w:color="auto" w:sz="8" w:space="0"/>
              <w:right w:val="dotted" w:color="auto" w:sz="4" w:space="0"/>
            </w:tcBorders>
            <w:noWrap/>
            <w:vAlign w:val="center"/>
          </w:tcPr>
          <w:p w14:paraId="18C3B80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10" w:type="dxa"/>
            <w:tcBorders>
              <w:top w:val="dotted" w:color="auto" w:sz="4" w:space="0"/>
              <w:left w:val="dotted" w:color="auto" w:sz="4" w:space="0"/>
              <w:bottom w:val="single" w:color="auto" w:sz="8" w:space="0"/>
              <w:right w:val="dotted" w:color="auto" w:sz="4" w:space="0"/>
            </w:tcBorders>
            <w:noWrap/>
            <w:vAlign w:val="center"/>
          </w:tcPr>
          <w:p w14:paraId="5E004600">
            <w:pPr>
              <w:widowControl/>
              <w:autoSpaceDE w:val="0"/>
              <w:spacing w:line="240" w:lineRule="auto"/>
              <w:jc w:val="center"/>
              <w:textAlignment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49</w:t>
            </w:r>
          </w:p>
        </w:tc>
        <w:tc>
          <w:tcPr>
            <w:tcW w:w="1065" w:type="dxa"/>
            <w:tcBorders>
              <w:top w:val="dotted" w:color="auto" w:sz="4" w:space="0"/>
              <w:left w:val="dotted" w:color="auto" w:sz="4" w:space="0"/>
              <w:bottom w:val="single" w:color="auto" w:sz="8" w:space="0"/>
              <w:right w:val="nil"/>
            </w:tcBorders>
            <w:noWrap/>
            <w:vAlign w:val="center"/>
          </w:tcPr>
          <w:p w14:paraId="581FF03F">
            <w:pPr>
              <w:widowControl/>
              <w:autoSpaceDE w:val="0"/>
              <w:spacing w:before="10" w:line="240" w:lineRule="auto"/>
              <w:jc w:val="center"/>
              <w:textAlignment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43</w:t>
            </w:r>
          </w:p>
        </w:tc>
      </w:tr>
    </w:tbl>
    <w:p w14:paraId="14EF23E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1.预算执行情况</w:t>
      </w:r>
    </w:p>
    <w:p w14:paraId="424A75F2">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（1）预算完成率</w:t>
      </w:r>
    </w:p>
    <w:p w14:paraId="77F55703">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val="0"/>
          <w:bCs/>
          <w:color w:val="auto"/>
          <w:kern w:val="2"/>
          <w:sz w:val="32"/>
          <w:szCs w:val="32"/>
          <w:highlight w:val="none"/>
          <w:lang w:val="en-US" w:eastAsia="zh-CN" w:bidi="ar"/>
        </w:rPr>
      </w:pPr>
      <w:r>
        <w:rPr>
          <w:rFonts w:hint="eastAsia" w:ascii="仿宋" w:hAnsi="仿宋" w:eastAsia="仿宋" w:cs="仿宋"/>
          <w:b w:val="0"/>
          <w:bCs/>
          <w:color w:val="auto"/>
          <w:kern w:val="2"/>
          <w:sz w:val="32"/>
          <w:szCs w:val="32"/>
          <w:highlight w:val="none"/>
          <w:lang w:val="en-US" w:eastAsia="zh-CN" w:bidi="ar"/>
        </w:rPr>
        <w:t>《部门预算批复表》中《收支预算总表》的预算数总额为</w:t>
      </w:r>
      <w:r>
        <w:rPr>
          <w:rStyle w:val="16"/>
          <w:rFonts w:hint="eastAsia" w:ascii="仿宋" w:hAnsi="仿宋" w:eastAsia="仿宋" w:cs="仿宋"/>
          <w:sz w:val="32"/>
          <w:szCs w:val="32"/>
          <w:highlight w:val="none"/>
          <w:lang w:val="en-US" w:eastAsia="zh-CN" w:bidi="ar"/>
        </w:rPr>
        <w:t>1,576.82万元；《</w:t>
      </w:r>
      <w:r>
        <w:rPr>
          <w:rFonts w:hint="eastAsia" w:ascii="仿宋" w:hAnsi="仿宋" w:eastAsia="仿宋" w:cs="仿宋"/>
          <w:b w:val="0"/>
          <w:bCs/>
          <w:color w:val="auto"/>
          <w:kern w:val="2"/>
          <w:sz w:val="32"/>
          <w:szCs w:val="32"/>
          <w:highlight w:val="none"/>
          <w:lang w:val="en-US" w:eastAsia="zh-CN" w:bidi="ar"/>
        </w:rPr>
        <w:t>部门决算报表》中《收入支出决算总表》的决算数为</w:t>
      </w:r>
      <w:r>
        <w:rPr>
          <w:rStyle w:val="16"/>
          <w:rFonts w:hint="eastAsia" w:ascii="仿宋" w:hAnsi="仿宋" w:eastAsia="仿宋" w:cs="仿宋"/>
          <w:sz w:val="32"/>
          <w:szCs w:val="32"/>
          <w:highlight w:val="none"/>
          <w:lang w:eastAsia="zh-CN" w:bidi="ar"/>
        </w:rPr>
        <w:t>1</w:t>
      </w:r>
      <w:r>
        <w:rPr>
          <w:rStyle w:val="16"/>
          <w:rFonts w:hint="eastAsia" w:ascii="仿宋" w:hAnsi="仿宋" w:eastAsia="仿宋" w:cs="仿宋"/>
          <w:sz w:val="32"/>
          <w:szCs w:val="32"/>
          <w:highlight w:val="none"/>
          <w:lang w:val="en-US" w:eastAsia="zh-CN" w:bidi="ar"/>
        </w:rPr>
        <w:t>,</w:t>
      </w:r>
      <w:r>
        <w:rPr>
          <w:rStyle w:val="16"/>
          <w:rFonts w:hint="eastAsia" w:ascii="仿宋" w:hAnsi="仿宋" w:eastAsia="仿宋" w:cs="仿宋"/>
          <w:sz w:val="32"/>
          <w:szCs w:val="32"/>
          <w:highlight w:val="none"/>
          <w:lang w:eastAsia="zh-CN" w:bidi="ar"/>
        </w:rPr>
        <w:t>483</w:t>
      </w:r>
      <w:r>
        <w:rPr>
          <w:rStyle w:val="16"/>
          <w:rFonts w:hint="eastAsia" w:ascii="仿宋" w:hAnsi="仿宋" w:eastAsia="仿宋" w:cs="仿宋"/>
          <w:sz w:val="32"/>
          <w:szCs w:val="32"/>
          <w:highlight w:val="none"/>
          <w:lang w:val="en-US" w:eastAsia="zh-CN" w:bidi="ar"/>
        </w:rPr>
        <w:t>.72万元</w:t>
      </w:r>
      <w:r>
        <w:rPr>
          <w:rFonts w:hint="eastAsia" w:ascii="仿宋" w:hAnsi="仿宋" w:eastAsia="仿宋" w:cs="仿宋"/>
          <w:b w:val="0"/>
          <w:bCs/>
          <w:color w:val="auto"/>
          <w:kern w:val="2"/>
          <w:sz w:val="32"/>
          <w:szCs w:val="32"/>
          <w:highlight w:val="none"/>
          <w:lang w:val="en-US" w:eastAsia="zh-CN" w:bidi="ar"/>
        </w:rPr>
        <w:t>；预算完成率为94.10%。本项满分11分，扣3分，实际得分8分。</w:t>
      </w:r>
    </w:p>
    <w:p w14:paraId="0BF6AB0A">
      <w:pPr>
        <w:pStyle w:val="9"/>
        <w:keepNext w:val="0"/>
        <w:keepLines w:val="0"/>
        <w:pageBreakBefore w:val="0"/>
        <w:widowControl/>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（2）预算调整率</w:t>
      </w:r>
    </w:p>
    <w:p w14:paraId="66B3DB0E">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kern w:val="2"/>
          <w:sz w:val="32"/>
          <w:szCs w:val="32"/>
          <w:highlight w:val="none"/>
        </w:rPr>
        <w:t>《部门预算批复表》中《收支预算总表》的</w:t>
      </w:r>
      <w:bookmarkStart w:id="23" w:name="OLE_LINK1"/>
      <w:r>
        <w:rPr>
          <w:rFonts w:hint="eastAsia" w:ascii="仿宋" w:hAnsi="仿宋" w:eastAsia="仿宋" w:cs="仿宋"/>
          <w:kern w:val="2"/>
          <w:sz w:val="32"/>
          <w:szCs w:val="32"/>
          <w:highlight w:val="none"/>
          <w:lang w:val="en-US" w:eastAsia="zh-CN"/>
        </w:rPr>
        <w:t>年初预</w:t>
      </w:r>
      <w:r>
        <w:rPr>
          <w:rFonts w:hint="eastAsia" w:ascii="仿宋" w:hAnsi="仿宋" w:eastAsia="仿宋" w:cs="仿宋"/>
          <w:kern w:val="2"/>
          <w:sz w:val="32"/>
          <w:szCs w:val="32"/>
          <w:highlight w:val="none"/>
        </w:rPr>
        <w:t>算数</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479</w:t>
      </w:r>
      <w:r>
        <w:rPr>
          <w:rFonts w:hint="eastAsia" w:ascii="仿宋" w:hAnsi="仿宋" w:eastAsia="仿宋" w:cs="仿宋"/>
          <w:sz w:val="32"/>
          <w:szCs w:val="32"/>
          <w:highlight w:val="none"/>
          <w:lang w:val="en-US" w:eastAsia="zh-CN"/>
        </w:rPr>
        <w:t>.69万</w:t>
      </w:r>
      <w:r>
        <w:rPr>
          <w:rFonts w:hint="eastAsia" w:ascii="仿宋" w:hAnsi="仿宋" w:eastAsia="仿宋" w:cs="仿宋"/>
          <w:kern w:val="2"/>
          <w:sz w:val="32"/>
          <w:szCs w:val="32"/>
          <w:highlight w:val="none"/>
        </w:rPr>
        <w:t>元，综合调</w:t>
      </w:r>
      <w:r>
        <w:rPr>
          <w:rFonts w:hint="eastAsia" w:ascii="仿宋" w:hAnsi="仿宋" w:eastAsia="仿宋" w:cs="仿宋"/>
          <w:kern w:val="2"/>
          <w:sz w:val="32"/>
          <w:szCs w:val="32"/>
          <w:highlight w:val="none"/>
          <w:lang w:val="en-US" w:eastAsia="zh-CN"/>
        </w:rPr>
        <w:t>增</w:t>
      </w:r>
      <w:r>
        <w:rPr>
          <w:rFonts w:hint="eastAsia" w:ascii="仿宋" w:hAnsi="仿宋" w:eastAsia="仿宋" w:cs="仿宋"/>
          <w:kern w:val="2"/>
          <w:sz w:val="32"/>
          <w:szCs w:val="32"/>
          <w:highlight w:val="none"/>
        </w:rPr>
        <w:t>预算指标金额为</w:t>
      </w:r>
      <w:r>
        <w:rPr>
          <w:rFonts w:hint="eastAsia" w:ascii="仿宋" w:hAnsi="仿宋" w:eastAsia="仿宋" w:cs="仿宋"/>
          <w:sz w:val="32"/>
          <w:szCs w:val="32"/>
          <w:highlight w:val="none"/>
          <w:lang w:val="en-US" w:eastAsia="zh-CN"/>
        </w:rPr>
        <w:t>97.13万</w:t>
      </w:r>
      <w:r>
        <w:rPr>
          <w:rFonts w:hint="eastAsia" w:ascii="仿宋" w:hAnsi="仿宋" w:eastAsia="仿宋" w:cs="仿宋"/>
          <w:kern w:val="2"/>
          <w:sz w:val="32"/>
          <w:szCs w:val="32"/>
          <w:highlight w:val="none"/>
          <w:lang w:val="en-US" w:eastAsia="zh-CN"/>
        </w:rPr>
        <w:t>元</w:t>
      </w:r>
      <w:r>
        <w:rPr>
          <w:rFonts w:hint="eastAsia" w:ascii="仿宋" w:hAnsi="仿宋" w:eastAsia="仿宋" w:cs="仿宋"/>
          <w:kern w:val="2"/>
          <w:sz w:val="32"/>
          <w:szCs w:val="32"/>
          <w:highlight w:val="none"/>
        </w:rPr>
        <w:t>，调整后全年预算金额为</w:t>
      </w:r>
      <w:r>
        <w:rPr>
          <w:rStyle w:val="16"/>
          <w:rFonts w:hint="eastAsia" w:ascii="仿宋" w:hAnsi="仿宋" w:eastAsia="仿宋" w:cs="仿宋"/>
          <w:sz w:val="32"/>
          <w:szCs w:val="32"/>
          <w:highlight w:val="none"/>
          <w:lang w:val="en-US" w:eastAsia="zh-CN" w:bidi="ar"/>
        </w:rPr>
        <w:t>1,576.82万</w:t>
      </w:r>
      <w:r>
        <w:rPr>
          <w:rFonts w:hint="eastAsia" w:ascii="仿宋" w:hAnsi="仿宋" w:eastAsia="仿宋" w:cs="仿宋"/>
          <w:sz w:val="32"/>
          <w:szCs w:val="32"/>
          <w:highlight w:val="none"/>
          <w:lang w:val="en-US" w:eastAsia="zh-CN"/>
        </w:rPr>
        <w:t>元。预算调整率为6.16%</w:t>
      </w:r>
      <w:bookmarkEnd w:id="23"/>
      <w:r>
        <w:rPr>
          <w:rFonts w:hint="eastAsia" w:ascii="仿宋" w:hAnsi="仿宋" w:eastAsia="仿宋" w:cs="仿宋"/>
          <w:sz w:val="32"/>
          <w:szCs w:val="32"/>
          <w:highlight w:val="none"/>
          <w:lang w:val="en-US" w:eastAsia="zh-CN"/>
        </w:rPr>
        <w:t>，本项满分2分，扣1分，实际得分1分。</w:t>
      </w:r>
    </w:p>
    <w:p w14:paraId="0E63588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3</w:t>
      </w:r>
      <w:r>
        <w:rPr>
          <w:rFonts w:hint="eastAsia" w:ascii="仿宋" w:hAnsi="仿宋" w:eastAsia="仿宋" w:cs="仿宋"/>
          <w:kern w:val="2"/>
          <w:sz w:val="32"/>
          <w:szCs w:val="32"/>
          <w:highlight w:val="none"/>
          <w:lang w:bidi="ar"/>
        </w:rPr>
        <w:t>）结转结余率</w:t>
      </w:r>
    </w:p>
    <w:p w14:paraId="0CA62598">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b/>
          <w:bCs/>
          <w:kern w:val="2"/>
          <w:sz w:val="32"/>
          <w:szCs w:val="32"/>
          <w:highlight w:val="none"/>
          <w:lang w:eastAsia="zh-CN"/>
        </w:rPr>
      </w:pPr>
      <w:r>
        <w:rPr>
          <w:rFonts w:hint="eastAsia" w:ascii="仿宋" w:hAnsi="仿宋" w:eastAsia="仿宋" w:cs="仿宋"/>
          <w:sz w:val="32"/>
          <w:szCs w:val="32"/>
          <w:highlight w:val="none"/>
          <w:lang w:val="en-US" w:eastAsia="zh-CN"/>
        </w:rPr>
        <w:t>市技工学校</w:t>
      </w:r>
      <w:r>
        <w:rPr>
          <w:rFonts w:hint="eastAsia" w:ascii="仿宋" w:hAnsi="仿宋" w:eastAsia="仿宋" w:cs="仿宋"/>
          <w:kern w:val="2"/>
          <w:sz w:val="32"/>
          <w:szCs w:val="32"/>
          <w:highlight w:val="none"/>
          <w:lang w:val="en-US" w:eastAsia="zh-CN"/>
        </w:rPr>
        <w:t>2023</w:t>
      </w:r>
      <w:r>
        <w:rPr>
          <w:rFonts w:hint="eastAsia" w:ascii="仿宋" w:hAnsi="仿宋" w:eastAsia="仿宋" w:cs="仿宋"/>
          <w:b w:val="0"/>
          <w:bCs/>
          <w:color w:val="auto"/>
          <w:kern w:val="2"/>
          <w:sz w:val="32"/>
          <w:szCs w:val="32"/>
          <w:highlight w:val="none"/>
          <w:lang w:val="en-US" w:eastAsia="zh-CN" w:bidi="ar"/>
        </w:rPr>
        <w:t>年末结转结余数为93.10万元，结转结余率为5.90%，本项满分6分，实际得分6分。</w:t>
      </w:r>
    </w:p>
    <w:p w14:paraId="2C9CFA13">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4</w:t>
      </w: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结</w:t>
      </w:r>
      <w:r>
        <w:rPr>
          <w:rFonts w:hint="eastAsia" w:ascii="仿宋" w:hAnsi="仿宋" w:eastAsia="仿宋" w:cs="仿宋"/>
          <w:kern w:val="2"/>
          <w:sz w:val="32"/>
          <w:szCs w:val="32"/>
          <w:highlight w:val="none"/>
          <w:lang w:bidi="ar"/>
        </w:rPr>
        <w:t>转结余变动率</w:t>
      </w:r>
    </w:p>
    <w:p w14:paraId="1DB9F4E0">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sz w:val="32"/>
          <w:szCs w:val="32"/>
          <w:highlight w:val="none"/>
          <w:lang w:val="en-US" w:eastAsia="zh-CN"/>
        </w:rPr>
        <w:t>市技工学校</w:t>
      </w:r>
      <w:r>
        <w:rPr>
          <w:rFonts w:hint="eastAsia" w:ascii="仿宋" w:hAnsi="仿宋" w:eastAsia="仿宋" w:cs="仿宋"/>
          <w:kern w:val="2"/>
          <w:sz w:val="32"/>
          <w:szCs w:val="32"/>
          <w:highlight w:val="none"/>
          <w:lang w:val="en-US" w:eastAsia="zh-CN"/>
        </w:rPr>
        <w:t>2023年</w:t>
      </w:r>
      <w:r>
        <w:rPr>
          <w:rFonts w:hint="eastAsia" w:ascii="仿宋" w:hAnsi="仿宋" w:eastAsia="仿宋" w:cs="仿宋"/>
          <w:b w:val="0"/>
          <w:bCs/>
          <w:color w:val="auto"/>
          <w:kern w:val="2"/>
          <w:sz w:val="32"/>
          <w:szCs w:val="32"/>
          <w:highlight w:val="none"/>
          <w:lang w:val="en-US" w:eastAsia="zh-CN" w:bidi="ar"/>
        </w:rPr>
        <w:t>结转结余数为93.10万元，2022年结转结余数为0.00万元，结转结余变动率0，本项满分1分，实际得分1分。</w:t>
      </w:r>
    </w:p>
    <w:p w14:paraId="40FD4F03">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left="420" w:left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5</w:t>
      </w:r>
      <w:r>
        <w:rPr>
          <w:rFonts w:hint="eastAsia" w:ascii="仿宋" w:hAnsi="仿宋" w:eastAsia="仿宋" w:cs="仿宋"/>
          <w:kern w:val="2"/>
          <w:sz w:val="32"/>
          <w:szCs w:val="32"/>
          <w:highlight w:val="none"/>
          <w:lang w:bidi="ar"/>
        </w:rPr>
        <w:t>）公用经费控制率</w:t>
      </w:r>
    </w:p>
    <w:p w14:paraId="774C78E2">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color w:val="auto"/>
          <w:kern w:val="2"/>
          <w:sz w:val="32"/>
          <w:szCs w:val="32"/>
          <w:highlight w:val="none"/>
          <w:lang w:val="en-US" w:eastAsia="zh-CN" w:bidi="ar"/>
        </w:rPr>
        <w:t>2023年实际支出公用经费总额为20.32万元，2023年公用经费全年预算总额为20.32万元，公用经费控制率为100.00%。本项满分2分，实际得分2分。</w:t>
      </w:r>
    </w:p>
    <w:p w14:paraId="7EBC5B42">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2"/>
          <w:szCs w:val="32"/>
          <w:highlight w:val="none"/>
          <w:lang w:bidi="ar"/>
        </w:rPr>
        <w:t>）“三公经费 ”控制率</w:t>
      </w:r>
    </w:p>
    <w:p w14:paraId="5FC1B846">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color w:val="000000"/>
          <w:kern w:val="2"/>
          <w:sz w:val="32"/>
          <w:szCs w:val="32"/>
          <w:lang w:val="en-US" w:eastAsia="zh-CN"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color w:val="000000"/>
          <w:kern w:val="2"/>
          <w:sz w:val="32"/>
          <w:szCs w:val="32"/>
          <w:lang w:val="en-US" w:eastAsia="zh-CN" w:bidi="ar"/>
        </w:rPr>
        <w:t>2023年“三公经费”实际支出数为</w:t>
      </w:r>
      <w:r>
        <w:rPr>
          <w:rStyle w:val="14"/>
          <w:rFonts w:hint="eastAsia" w:ascii="仿宋" w:hAnsi="仿宋" w:eastAsia="仿宋" w:cs="仿宋"/>
          <w:color w:val="000000"/>
          <w:sz w:val="32"/>
          <w:szCs w:val="32"/>
          <w:lang w:val="en-US" w:eastAsia="zh-CN" w:bidi="ar"/>
        </w:rPr>
        <w:t>7.00万</w:t>
      </w:r>
      <w:r>
        <w:rPr>
          <w:rFonts w:hint="eastAsia" w:ascii="仿宋" w:hAnsi="仿宋" w:eastAsia="仿宋" w:cs="仿宋"/>
          <w:color w:val="000000"/>
          <w:kern w:val="2"/>
          <w:sz w:val="32"/>
          <w:szCs w:val="32"/>
          <w:lang w:val="en-US" w:eastAsia="zh-CN" w:bidi="ar"/>
        </w:rPr>
        <w:t>元，2023年“三公经费”预算安排数为</w:t>
      </w:r>
      <w:r>
        <w:rPr>
          <w:rStyle w:val="14"/>
          <w:rFonts w:hint="eastAsia" w:ascii="仿宋" w:hAnsi="仿宋" w:eastAsia="仿宋" w:cs="仿宋"/>
          <w:color w:val="000000"/>
          <w:sz w:val="32"/>
          <w:szCs w:val="32"/>
          <w:lang w:val="en-US" w:eastAsia="zh-CN" w:bidi="ar"/>
        </w:rPr>
        <w:t>7.00万</w:t>
      </w:r>
      <w:r>
        <w:rPr>
          <w:rFonts w:hint="eastAsia" w:ascii="仿宋" w:hAnsi="仿宋" w:eastAsia="仿宋" w:cs="仿宋"/>
          <w:color w:val="000000"/>
          <w:kern w:val="2"/>
          <w:sz w:val="32"/>
          <w:szCs w:val="32"/>
          <w:lang w:val="en-US" w:eastAsia="zh-CN" w:bidi="ar"/>
        </w:rPr>
        <w:t>元，“三公经费”控制率为100.00%。本项满分2分，扣1分，实际得分1分。</w:t>
      </w:r>
    </w:p>
    <w:p w14:paraId="673D7F50">
      <w:pPr>
        <w:pStyle w:val="9"/>
        <w:keepNext w:val="0"/>
        <w:keepLines w:val="0"/>
        <w:pageBreakBefore w:val="0"/>
        <w:kinsoku/>
        <w:wordWrap/>
        <w:overflowPunct/>
        <w:topLinePunct w:val="0"/>
        <w:autoSpaceDE/>
        <w:autoSpaceDN/>
        <w:bidi w:val="0"/>
        <w:adjustRightInd/>
        <w:snapToGrid/>
        <w:spacing w:before="165" w:beforeLines="50" w:beforeAutospacing="0" w:after="165" w:afterLines="50" w:afterAutospacing="0" w:line="360" w:lineRule="auto"/>
        <w:ind w:left="0" w:leftChars="0"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w:t>
      </w:r>
      <w:r>
        <w:rPr>
          <w:rFonts w:hint="eastAsia" w:ascii="仿宋" w:hAnsi="仿宋" w:eastAsia="仿宋" w:cs="仿宋"/>
          <w:kern w:val="2"/>
          <w:sz w:val="32"/>
          <w:szCs w:val="32"/>
          <w:highlight w:val="none"/>
          <w:lang w:val="en-US" w:eastAsia="zh-CN" w:bidi="ar"/>
        </w:rPr>
        <w:t>7</w:t>
      </w:r>
      <w:r>
        <w:rPr>
          <w:rFonts w:hint="eastAsia" w:ascii="仿宋" w:hAnsi="仿宋" w:eastAsia="仿宋" w:cs="仿宋"/>
          <w:kern w:val="2"/>
          <w:sz w:val="32"/>
          <w:szCs w:val="32"/>
          <w:highlight w:val="none"/>
          <w:lang w:bidi="ar"/>
        </w:rPr>
        <w:t>）政府采购执行率</w:t>
      </w:r>
    </w:p>
    <w:p w14:paraId="07697FDF">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rPr>
      </w:pPr>
      <w:r>
        <w:rPr>
          <w:rFonts w:hint="eastAsia" w:ascii="仿宋" w:hAnsi="仿宋" w:eastAsia="仿宋" w:cs="仿宋"/>
          <w:sz w:val="32"/>
          <w:szCs w:val="32"/>
          <w:highlight w:val="none"/>
          <w:lang w:val="en-US" w:eastAsia="zh-CN"/>
        </w:rPr>
        <w:t>市技工学校</w:t>
      </w:r>
      <w:r>
        <w:rPr>
          <w:rFonts w:hint="eastAsia" w:ascii="仿宋" w:hAnsi="仿宋" w:eastAsia="仿宋" w:cs="仿宋"/>
          <w:kern w:val="2"/>
          <w:sz w:val="32"/>
          <w:szCs w:val="32"/>
          <w:highlight w:val="none"/>
        </w:rPr>
        <w:t>2023年</w:t>
      </w:r>
      <w:r>
        <w:rPr>
          <w:rFonts w:hint="eastAsia" w:ascii="仿宋" w:hAnsi="仿宋" w:eastAsia="仿宋" w:cs="仿宋"/>
          <w:color w:val="000000"/>
          <w:kern w:val="2"/>
          <w:sz w:val="32"/>
          <w:szCs w:val="32"/>
          <w:lang w:val="en-US" w:eastAsia="zh" w:bidi="ar-SA"/>
        </w:rPr>
        <w:t>度</w:t>
      </w:r>
      <w:r>
        <w:rPr>
          <w:rFonts w:hint="eastAsia" w:ascii="仿宋" w:hAnsi="仿宋" w:eastAsia="仿宋" w:cs="仿宋"/>
          <w:color w:val="000000"/>
          <w:kern w:val="2"/>
          <w:sz w:val="32"/>
          <w:szCs w:val="32"/>
          <w:lang w:val="en-US" w:eastAsia="zh-CN" w:bidi="ar-SA"/>
        </w:rPr>
        <w:t>政府采购项目预算金额为697.35万元，政府采购实际执行数为697.35万元，</w:t>
      </w:r>
      <w:r>
        <w:rPr>
          <w:rFonts w:hint="eastAsia" w:ascii="仿宋" w:hAnsi="仿宋" w:eastAsia="仿宋" w:cs="仿宋"/>
          <w:b w:val="0"/>
          <w:bCs/>
          <w:color w:val="auto"/>
          <w:kern w:val="2"/>
          <w:sz w:val="32"/>
          <w:szCs w:val="32"/>
          <w:highlight w:val="none"/>
          <w:lang w:val="en-US" w:eastAsia="zh-CN" w:bidi="ar"/>
        </w:rPr>
        <w:t>政府采购执行率为100%。本项满分3分，实际得分3分。</w:t>
      </w:r>
    </w:p>
    <w:p w14:paraId="5D40962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kern w:val="2"/>
          <w:sz w:val="32"/>
          <w:szCs w:val="32"/>
          <w:highlight w:val="none"/>
        </w:rPr>
      </w:pPr>
      <w:r>
        <w:rPr>
          <w:rFonts w:hint="eastAsia" w:ascii="仿宋" w:hAnsi="仿宋" w:eastAsia="仿宋" w:cs="仿宋"/>
          <w:b/>
          <w:bCs/>
          <w:kern w:val="2"/>
          <w:sz w:val="32"/>
          <w:szCs w:val="32"/>
          <w:highlight w:val="none"/>
          <w:lang w:bidi="ar"/>
        </w:rPr>
        <w:t>2.预算管理情况</w:t>
      </w:r>
    </w:p>
    <w:p w14:paraId="3A8E2D0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kern w:val="2"/>
          <w:sz w:val="32"/>
          <w:szCs w:val="32"/>
          <w:highlight w:val="none"/>
          <w:lang w:bidi="ar"/>
        </w:rPr>
      </w:pPr>
      <w:r>
        <w:rPr>
          <w:rFonts w:hint="eastAsia" w:ascii="仿宋" w:hAnsi="仿宋" w:eastAsia="仿宋" w:cs="仿宋"/>
          <w:kern w:val="2"/>
          <w:sz w:val="32"/>
          <w:szCs w:val="32"/>
          <w:highlight w:val="none"/>
          <w:lang w:bidi="ar"/>
        </w:rPr>
        <w:t>（1）管理制度健全性</w:t>
      </w:r>
    </w:p>
    <w:p w14:paraId="51FE6CE4">
      <w:pPr>
        <w:pStyle w:val="9"/>
        <w:keepNext w:val="0"/>
        <w:keepLines w:val="0"/>
        <w:pageBreakBefore w:val="0"/>
        <w:widowControl/>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left="0" w:right="0" w:rightChars="0" w:firstLine="640" w:firstLineChars="200"/>
        <w:jc w:val="left"/>
        <w:rPr>
          <w:rFonts w:hint="eastAsia" w:ascii="仿宋" w:hAnsi="仿宋" w:eastAsia="仿宋" w:cs="仿宋"/>
          <w:color w:val="000000"/>
          <w:kern w:val="2"/>
          <w:sz w:val="32"/>
          <w:szCs w:val="32"/>
          <w:lang w:val="en-US" w:eastAsia="zh-CN"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color w:val="000000"/>
          <w:kern w:val="0"/>
          <w:sz w:val="32"/>
          <w:szCs w:val="32"/>
          <w:lang w:val="en-US" w:eastAsia="zh-CN" w:bidi="ar"/>
        </w:rPr>
        <w:t>有财务管理制度、业务层面内部控制制度、财务工作人员职责制度。建立了部门内控制度或措施，相关管理办法、制度、措施得到有效执行。</w:t>
      </w:r>
      <w:r>
        <w:rPr>
          <w:rFonts w:hint="eastAsia" w:ascii="仿宋" w:hAnsi="仿宋" w:eastAsia="仿宋" w:cs="仿宋"/>
          <w:color w:val="000000"/>
          <w:kern w:val="2"/>
          <w:sz w:val="32"/>
          <w:szCs w:val="32"/>
          <w:lang w:val="en-US" w:eastAsia="zh-CN" w:bidi="ar"/>
        </w:rPr>
        <w:t>本项满分3分，实际得分3分。</w:t>
      </w:r>
    </w:p>
    <w:p w14:paraId="5952BBB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（2）资金使用合规性</w:t>
      </w:r>
    </w:p>
    <w:p w14:paraId="500BF19F">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color w:val="000000"/>
          <w:kern w:val="0"/>
          <w:sz w:val="32"/>
          <w:szCs w:val="32"/>
          <w:lang w:val="en-US" w:eastAsia="zh-CN" w:bidi="ar"/>
        </w:rPr>
        <w:t>使用预算资金符合国家财经法规和财务管理制度规定以及有关专项资金管理办法的规定；资金拨付有完整的审批程序和手续；项目的重大开支经过评估论证，符合预算批复的用途，不存在截留、挤占、挪用、虚列支出等情况。</w:t>
      </w:r>
      <w:r>
        <w:rPr>
          <w:rFonts w:hint="eastAsia" w:ascii="仿宋" w:hAnsi="仿宋" w:eastAsia="仿宋" w:cs="仿宋"/>
          <w:color w:val="000000"/>
          <w:kern w:val="2"/>
          <w:sz w:val="32"/>
          <w:szCs w:val="32"/>
          <w:lang w:val="en-US" w:eastAsia="zh-CN" w:bidi="ar"/>
        </w:rPr>
        <w:t>本项满分5分，得5分。</w:t>
      </w:r>
    </w:p>
    <w:p w14:paraId="48A762BE">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（3）预决算信息公开性</w:t>
      </w:r>
    </w:p>
    <w:p w14:paraId="54A9FA65">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财政部关于印发《地方预决算公开操作规程》 的通知（财预〔2016〕143 号）“地方各级财政部门和各部门建有门户网站的，应当在门户网站公开预决算，并永久保留，其中当年预决算应当公开在网站醒目位置：没有门户网站的，应当采取措施在公开媒体公开预决算.并积极推动门户网站建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rPr>
        <w:t>按规定按时在政府公开信息网站上公开单位2023年预算情况，2023年决算尚未批复，故尚未公开。</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59ABD1EF">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（4）基础信息完善性</w:t>
      </w:r>
    </w:p>
    <w:p w14:paraId="36F5517A">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经抽查</w:t>
      </w:r>
      <w:r>
        <w:rPr>
          <w:rFonts w:hint="eastAsia" w:ascii="仿宋" w:hAnsi="仿宋" w:eastAsia="仿宋" w:cs="仿宋"/>
          <w:sz w:val="32"/>
          <w:szCs w:val="32"/>
          <w:highlight w:val="none"/>
          <w:lang w:val="en-US" w:eastAsia="zh-CN"/>
        </w:rPr>
        <w:t>财务凭证，业务附件真实完整</w:t>
      </w:r>
      <w:r>
        <w:rPr>
          <w:rFonts w:hint="eastAsia" w:ascii="仿宋" w:hAnsi="仿宋" w:eastAsia="仿宋" w:cs="仿宋"/>
          <w:sz w:val="32"/>
          <w:szCs w:val="32"/>
          <w:highlight w:val="none"/>
        </w:rPr>
        <w:t>，基础数据信息和会计信息资料真实</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完整、准确</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2分。</w:t>
      </w:r>
    </w:p>
    <w:p w14:paraId="4939EBF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3.资产管理情况</w:t>
      </w:r>
    </w:p>
    <w:p w14:paraId="41A9C8BB">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（1）资产管理制度健全性</w:t>
      </w:r>
    </w:p>
    <w:p w14:paraId="0BF89FDF">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color w:val="000000"/>
          <w:kern w:val="0"/>
          <w:sz w:val="32"/>
          <w:szCs w:val="32"/>
          <w:lang w:val="en-US" w:eastAsia="zh-CN" w:bidi="ar"/>
        </w:rPr>
        <w:t>制定了固定资产管理制度、财务管理制度等管理办法和制度。相关资产管理制度合法、合规、完整，相关资产管理制度得到有效执行。固定资产管理制度中的盘点要求未得到有效执行。</w:t>
      </w:r>
      <w:r>
        <w:rPr>
          <w:rFonts w:hint="eastAsia" w:ascii="仿宋" w:hAnsi="仿宋" w:eastAsia="仿宋" w:cs="仿宋"/>
          <w:color w:val="000000"/>
          <w:kern w:val="2"/>
          <w:sz w:val="32"/>
          <w:szCs w:val="32"/>
          <w:lang w:val="en-US" w:eastAsia="zh-CN" w:bidi="ar"/>
        </w:rPr>
        <w:t>本项满分3分，</w:t>
      </w:r>
      <w:r>
        <w:rPr>
          <w:rFonts w:hint="eastAsia" w:ascii="仿宋" w:hAnsi="仿宋" w:eastAsia="仿宋" w:cs="仿宋"/>
          <w:color w:val="000000"/>
          <w:kern w:val="0"/>
          <w:sz w:val="32"/>
          <w:szCs w:val="32"/>
          <w:lang w:val="en-US" w:eastAsia="zh-CN" w:bidi="ar"/>
        </w:rPr>
        <w:t>扣1分，</w:t>
      </w:r>
      <w:r>
        <w:rPr>
          <w:rFonts w:hint="eastAsia" w:ascii="仿宋" w:hAnsi="仿宋" w:eastAsia="仿宋" w:cs="仿宋"/>
          <w:sz w:val="32"/>
          <w:szCs w:val="32"/>
          <w:highlight w:val="none"/>
          <w:lang w:val="en-US" w:eastAsia="zh-CN"/>
        </w:rPr>
        <w:t>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分2</w:t>
      </w:r>
      <w:r>
        <w:rPr>
          <w:rFonts w:hint="eastAsia" w:ascii="仿宋" w:hAnsi="仿宋" w:eastAsia="仿宋" w:cs="仿宋"/>
          <w:sz w:val="32"/>
          <w:szCs w:val="32"/>
          <w:highlight w:val="none"/>
        </w:rPr>
        <w:t>分。</w:t>
      </w:r>
    </w:p>
    <w:p w14:paraId="27B9D14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（2）资产管理安全性</w:t>
      </w:r>
    </w:p>
    <w:p w14:paraId="7473D44E">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b w:val="0"/>
          <w:bCs/>
          <w:color w:val="auto"/>
          <w:kern w:val="0"/>
          <w:sz w:val="32"/>
          <w:szCs w:val="32"/>
          <w:highlight w:val="none"/>
          <w:lang w:val="en-US" w:eastAsia="zh-CN"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b w:val="0"/>
          <w:bCs/>
          <w:color w:val="auto"/>
          <w:kern w:val="0"/>
          <w:sz w:val="32"/>
          <w:szCs w:val="32"/>
          <w:highlight w:val="none"/>
          <w:lang w:val="en-US" w:eastAsia="zh-CN" w:bidi="ar"/>
        </w:rPr>
        <w:t>资产配置合理，不存在超标准配置资产的情况；资产处置规范，不存在不按要求进行报批或资产不公开处置行为；资产账务管理合规，帐实相符；资产使用规范，不存在未经批准擅自出租、出借资产行为。本项满分5分，实际得分5分。</w:t>
      </w:r>
    </w:p>
    <w:p w14:paraId="2D41F8AE">
      <w:pPr>
        <w:pStyle w:val="9"/>
        <w:keepNext w:val="0"/>
        <w:keepLines w:val="0"/>
        <w:pageBreakBefore w:val="0"/>
        <w:widowControl/>
        <w:numPr>
          <w:ilvl w:val="0"/>
          <w:numId w:val="0"/>
        </w:numPr>
        <w:suppressLineNumbers w:val="0"/>
        <w:kinsoku/>
        <w:wordWrap/>
        <w:overflowPunct/>
        <w:topLinePunct w:val="0"/>
        <w:autoSpaceDE w:val="0"/>
        <w:autoSpaceDN/>
        <w:bidi w:val="0"/>
        <w:adjustRightInd/>
        <w:snapToGrid/>
        <w:spacing w:before="165" w:beforeLines="50" w:beforeAutospacing="0" w:after="165" w:afterLines="50" w:afterAutospacing="0" w:line="360" w:lineRule="auto"/>
        <w:ind w:right="0" w:rightChars="0" w:firstLine="640" w:firstLineChars="200"/>
        <w:jc w:val="left"/>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（3）固定资产利用率</w:t>
      </w:r>
    </w:p>
    <w:p w14:paraId="72FFA9C0">
      <w:pPr>
        <w:pStyle w:val="9"/>
        <w:keepNext w:val="0"/>
        <w:keepLines w:val="0"/>
        <w:pageBreakBefore w:val="0"/>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rPr>
        <w:t>固定资产总额为50</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775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570.52元，实际在用固定资产总额50</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775</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570.52元，固定资产利用率为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本项满分2分</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实际得分</w:t>
      </w:r>
      <w:r>
        <w:rPr>
          <w:rFonts w:hint="eastAsia" w:ascii="仿宋" w:hAnsi="仿宋" w:eastAsia="仿宋" w:cs="仿宋"/>
          <w:sz w:val="32"/>
          <w:szCs w:val="32"/>
          <w:highlight w:val="none"/>
        </w:rPr>
        <w:t>得2分。</w:t>
      </w:r>
    </w:p>
    <w:p w14:paraId="3D92BAB5">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4" w:name="_Toc9956"/>
      <w:r>
        <w:rPr>
          <w:rFonts w:hint="eastAsia" w:ascii="仿宋" w:hAnsi="仿宋" w:eastAsia="仿宋" w:cs="仿宋"/>
          <w:b/>
          <w:bCs/>
          <w:sz w:val="32"/>
          <w:szCs w:val="32"/>
          <w:highlight w:val="none"/>
          <w:lang w:bidi="ar"/>
        </w:rPr>
        <w:t>（三）项目产出情况</w:t>
      </w:r>
      <w:bookmarkEnd w:id="24"/>
    </w:p>
    <w:p w14:paraId="7D6B41E9">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从部门整体产出情况的职责履行方面情况进行评价，满分为16分，总得分</w:t>
      </w:r>
      <w:r>
        <w:rPr>
          <w:rFonts w:hint="eastAsia" w:ascii="仿宋" w:hAnsi="仿宋" w:eastAsia="仿宋" w:cs="仿宋"/>
          <w:sz w:val="32"/>
          <w:szCs w:val="32"/>
          <w:highlight w:val="none"/>
          <w:lang w:val="en-US" w:eastAsia="zh-CN"/>
        </w:rPr>
        <w:t>14.18</w:t>
      </w:r>
      <w:r>
        <w:rPr>
          <w:rFonts w:hint="eastAsia" w:ascii="仿宋" w:hAnsi="仿宋" w:eastAsia="仿宋" w:cs="仿宋"/>
          <w:sz w:val="32"/>
          <w:szCs w:val="32"/>
          <w:highlight w:val="none"/>
        </w:rPr>
        <w:t>分。</w:t>
      </w:r>
    </w:p>
    <w:p w14:paraId="0EDF5707">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表4-3部门产出情况得分表</w:t>
      </w:r>
    </w:p>
    <w:tbl>
      <w:tblPr>
        <w:tblStyle w:val="10"/>
        <w:tblW w:w="8595" w:type="dxa"/>
        <w:tblInd w:w="96" w:type="dxa"/>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743"/>
        <w:gridCol w:w="2833"/>
        <w:gridCol w:w="1122"/>
        <w:gridCol w:w="947"/>
      </w:tblGrid>
      <w:tr w14:paraId="5C7A86D7">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tcBorders>
              <w:top w:val="single" w:color="auto" w:sz="8" w:space="0"/>
              <w:left w:val="nil"/>
              <w:bottom w:val="dotted" w:color="auto" w:sz="4" w:space="0"/>
              <w:right w:val="dotted" w:color="auto" w:sz="4" w:space="0"/>
            </w:tcBorders>
            <w:noWrap/>
            <w:vAlign w:val="center"/>
          </w:tcPr>
          <w:p w14:paraId="255212C4">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3DE575F8">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743" w:type="dxa"/>
            <w:tcBorders>
              <w:top w:val="single" w:color="auto" w:sz="8" w:space="0"/>
              <w:left w:val="dotted" w:color="auto" w:sz="4" w:space="0"/>
              <w:bottom w:val="dotted" w:color="auto" w:sz="4" w:space="0"/>
              <w:right w:val="dotted" w:color="auto" w:sz="4" w:space="0"/>
            </w:tcBorders>
            <w:noWrap/>
            <w:vAlign w:val="center"/>
          </w:tcPr>
          <w:p w14:paraId="01C63EFC">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2833" w:type="dxa"/>
            <w:tcBorders>
              <w:top w:val="single" w:color="auto" w:sz="8" w:space="0"/>
              <w:left w:val="dotted" w:color="auto" w:sz="4" w:space="0"/>
              <w:bottom w:val="dotted" w:color="auto" w:sz="4" w:space="0"/>
              <w:right w:val="dotted" w:color="auto" w:sz="4" w:space="0"/>
            </w:tcBorders>
            <w:noWrap/>
            <w:vAlign w:val="center"/>
          </w:tcPr>
          <w:p w14:paraId="738901C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7D3295E2">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469E3C45">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7E0BE55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restart"/>
            <w:tcBorders>
              <w:top w:val="dotted" w:color="auto" w:sz="4" w:space="0"/>
              <w:left w:val="nil"/>
              <w:bottom w:val="dotted" w:color="auto" w:sz="4" w:space="0"/>
              <w:right w:val="dotted" w:color="auto" w:sz="4" w:space="0"/>
            </w:tcBorders>
            <w:noWrap/>
            <w:vAlign w:val="center"/>
          </w:tcPr>
          <w:p w14:paraId="2D0297A1">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产出</w:t>
            </w:r>
          </w:p>
        </w:tc>
        <w:tc>
          <w:tcPr>
            <w:tcW w:w="704" w:type="dxa"/>
            <w:vMerge w:val="restart"/>
            <w:tcBorders>
              <w:top w:val="dotted" w:color="auto" w:sz="4" w:space="0"/>
              <w:left w:val="dotted" w:color="auto" w:sz="4" w:space="0"/>
              <w:bottom w:val="dotted" w:color="auto" w:sz="4" w:space="0"/>
              <w:right w:val="dotted" w:color="auto" w:sz="4" w:space="0"/>
            </w:tcBorders>
            <w:noWrap/>
            <w:vAlign w:val="center"/>
          </w:tcPr>
          <w:p w14:paraId="4BEB1273">
            <w:pPr>
              <w:widowControl/>
              <w:autoSpaceDE w:val="0"/>
              <w:spacing w:before="10"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16</w:t>
            </w:r>
          </w:p>
        </w:tc>
        <w:tc>
          <w:tcPr>
            <w:tcW w:w="1743" w:type="dxa"/>
            <w:vMerge w:val="restart"/>
            <w:tcBorders>
              <w:top w:val="dotted" w:color="auto" w:sz="4" w:space="0"/>
              <w:left w:val="dotted" w:color="auto" w:sz="4" w:space="0"/>
              <w:bottom w:val="dotted" w:color="auto" w:sz="4" w:space="0"/>
              <w:right w:val="dotted" w:color="auto" w:sz="4" w:space="0"/>
            </w:tcBorders>
            <w:noWrap w:val="0"/>
            <w:vAlign w:val="center"/>
          </w:tcPr>
          <w:p w14:paraId="4E6F47A2">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职责履行</w:t>
            </w:r>
          </w:p>
          <w:p w14:paraId="0EA3AF6E">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0"/>
            <w:vAlign w:val="center"/>
          </w:tcPr>
          <w:p w14:paraId="40CEC919">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实际完成率</w:t>
            </w:r>
          </w:p>
        </w:tc>
        <w:tc>
          <w:tcPr>
            <w:tcW w:w="1122" w:type="dxa"/>
            <w:tcBorders>
              <w:top w:val="dotted" w:color="auto" w:sz="4" w:space="0"/>
              <w:left w:val="dotted" w:color="auto" w:sz="4" w:space="0"/>
              <w:bottom w:val="dotted" w:color="auto" w:sz="4" w:space="0"/>
              <w:right w:val="dotted" w:color="auto" w:sz="4" w:space="0"/>
            </w:tcBorders>
            <w:noWrap w:val="0"/>
            <w:vAlign w:val="center"/>
          </w:tcPr>
          <w:p w14:paraId="632E3389">
            <w:pPr>
              <w:widowControl/>
              <w:autoSpaceDE w:val="0"/>
              <w:spacing w:line="240" w:lineRule="auto"/>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2C67F576">
            <w:pPr>
              <w:widowControl/>
              <w:autoSpaceDE w:val="0"/>
              <w:spacing w:line="240" w:lineRule="auto"/>
              <w:jc w:val="center"/>
              <w:textAlignment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3.56</w:t>
            </w:r>
          </w:p>
        </w:tc>
      </w:tr>
      <w:tr w14:paraId="42435D4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2AA6CB60">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4E669145">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74597003">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00585C5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完成及时率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71CC3AD3">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78F899E1">
            <w:pPr>
              <w:widowControl/>
              <w:autoSpaceDE w:val="0"/>
              <w:spacing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3.56</w:t>
            </w:r>
          </w:p>
        </w:tc>
      </w:tr>
      <w:tr w14:paraId="43A4992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588D3702">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6351912A">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4BF09A80">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34C66051">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质量达标率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66B39D6A">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194479D8">
            <w:pPr>
              <w:widowControl/>
              <w:autoSpaceDE w:val="0"/>
              <w:spacing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3.56</w:t>
            </w:r>
          </w:p>
        </w:tc>
      </w:tr>
      <w:tr w14:paraId="36814834">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1246" w:type="dxa"/>
            <w:vMerge w:val="continue"/>
            <w:tcBorders>
              <w:top w:val="dotted" w:color="auto" w:sz="4" w:space="0"/>
              <w:left w:val="nil"/>
              <w:bottom w:val="dotted" w:color="auto" w:sz="4" w:space="0"/>
              <w:right w:val="dotted" w:color="auto" w:sz="4" w:space="0"/>
            </w:tcBorders>
            <w:noWrap/>
            <w:vAlign w:val="center"/>
          </w:tcPr>
          <w:p w14:paraId="06057B11">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69A6E07C">
            <w:pPr>
              <w:rPr>
                <w:rFonts w:hint="eastAsia" w:ascii="仿宋" w:hAnsi="仿宋" w:eastAsia="仿宋" w:cs="仿宋"/>
                <w:sz w:val="24"/>
                <w:szCs w:val="24"/>
                <w:highlight w:val="none"/>
              </w:rPr>
            </w:pPr>
          </w:p>
        </w:tc>
        <w:tc>
          <w:tcPr>
            <w:tcW w:w="1743" w:type="dxa"/>
            <w:vMerge w:val="continue"/>
            <w:tcBorders>
              <w:top w:val="dotted" w:color="auto" w:sz="4" w:space="0"/>
              <w:left w:val="dotted" w:color="auto" w:sz="4" w:space="0"/>
              <w:bottom w:val="dotted" w:color="auto" w:sz="4" w:space="0"/>
              <w:right w:val="dotted" w:color="auto" w:sz="4" w:space="0"/>
            </w:tcBorders>
            <w:noWrap w:val="0"/>
            <w:vAlign w:val="center"/>
          </w:tcPr>
          <w:p w14:paraId="4AC83535">
            <w:pPr>
              <w:rPr>
                <w:rFonts w:hint="eastAsia" w:ascii="仿宋" w:hAnsi="仿宋" w:eastAsia="仿宋" w:cs="仿宋"/>
                <w:sz w:val="24"/>
                <w:szCs w:val="24"/>
                <w:highlight w:val="none"/>
              </w:rPr>
            </w:pPr>
          </w:p>
        </w:tc>
        <w:tc>
          <w:tcPr>
            <w:tcW w:w="2833" w:type="dxa"/>
            <w:tcBorders>
              <w:top w:val="dotted" w:color="auto" w:sz="4" w:space="0"/>
              <w:left w:val="dotted" w:color="auto" w:sz="4" w:space="0"/>
              <w:bottom w:val="dotted" w:color="auto" w:sz="4" w:space="0"/>
              <w:right w:val="dotted" w:color="auto" w:sz="4" w:space="0"/>
            </w:tcBorders>
            <w:noWrap/>
            <w:vAlign w:val="center"/>
          </w:tcPr>
          <w:p w14:paraId="33DE312E">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重点工作办结率</w:t>
            </w:r>
          </w:p>
        </w:tc>
        <w:tc>
          <w:tcPr>
            <w:tcW w:w="1122" w:type="dxa"/>
            <w:tcBorders>
              <w:top w:val="dotted" w:color="auto" w:sz="4" w:space="0"/>
              <w:left w:val="dotted" w:color="auto" w:sz="4" w:space="0"/>
              <w:bottom w:val="dotted" w:color="auto" w:sz="4" w:space="0"/>
              <w:right w:val="dotted" w:color="auto" w:sz="4" w:space="0"/>
            </w:tcBorders>
            <w:noWrap/>
            <w:vAlign w:val="center"/>
          </w:tcPr>
          <w:p w14:paraId="4A8E4A78">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4</w:t>
            </w:r>
          </w:p>
        </w:tc>
        <w:tc>
          <w:tcPr>
            <w:tcW w:w="947" w:type="dxa"/>
            <w:tcBorders>
              <w:top w:val="dotted" w:color="auto" w:sz="4" w:space="0"/>
              <w:left w:val="dotted" w:color="auto" w:sz="4" w:space="0"/>
              <w:bottom w:val="dotted" w:color="auto" w:sz="4" w:space="0"/>
              <w:right w:val="nil"/>
            </w:tcBorders>
            <w:noWrap/>
            <w:vAlign w:val="center"/>
          </w:tcPr>
          <w:p w14:paraId="60E13F3A">
            <w:pPr>
              <w:widowControl/>
              <w:autoSpaceDE w:val="0"/>
              <w:spacing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3.5</w:t>
            </w:r>
          </w:p>
        </w:tc>
      </w:tr>
      <w:tr w14:paraId="7B860756">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trPr>
        <w:tc>
          <w:tcPr>
            <w:tcW w:w="6526" w:type="dxa"/>
            <w:gridSpan w:val="4"/>
            <w:tcBorders>
              <w:top w:val="dotted" w:color="auto" w:sz="4" w:space="0"/>
              <w:left w:val="nil"/>
              <w:bottom w:val="single" w:color="auto" w:sz="8" w:space="0"/>
              <w:right w:val="dotted" w:color="auto" w:sz="4" w:space="0"/>
            </w:tcBorders>
            <w:noWrap/>
            <w:vAlign w:val="center"/>
          </w:tcPr>
          <w:p w14:paraId="204E9E3D">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625A98E3">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16</w:t>
            </w:r>
          </w:p>
        </w:tc>
        <w:tc>
          <w:tcPr>
            <w:tcW w:w="947" w:type="dxa"/>
            <w:tcBorders>
              <w:top w:val="dotted" w:color="auto" w:sz="4" w:space="0"/>
              <w:left w:val="dotted" w:color="auto" w:sz="4" w:space="0"/>
              <w:bottom w:val="single" w:color="auto" w:sz="8" w:space="0"/>
              <w:right w:val="nil"/>
            </w:tcBorders>
            <w:noWrap/>
            <w:vAlign w:val="center"/>
          </w:tcPr>
          <w:p w14:paraId="1CD787A7">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bCs/>
                <w:color w:val="000000"/>
                <w:kern w:val="0"/>
                <w:sz w:val="24"/>
                <w:szCs w:val="24"/>
                <w:highlight w:val="none"/>
                <w:lang w:bidi="ar"/>
              </w:rPr>
              <w:t>1</w:t>
            </w:r>
            <w:r>
              <w:rPr>
                <w:rFonts w:hint="eastAsia" w:ascii="仿宋" w:hAnsi="仿宋" w:eastAsia="仿宋" w:cs="仿宋"/>
                <w:b/>
                <w:bCs/>
                <w:color w:val="000000"/>
                <w:kern w:val="0"/>
                <w:sz w:val="24"/>
                <w:szCs w:val="24"/>
                <w:highlight w:val="none"/>
                <w:lang w:val="en-US" w:eastAsia="zh-CN" w:bidi="ar"/>
              </w:rPr>
              <w:t>4.18</w:t>
            </w:r>
          </w:p>
        </w:tc>
      </w:tr>
    </w:tbl>
    <w:p w14:paraId="0C8066D1">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1.职责履行情况</w:t>
      </w:r>
    </w:p>
    <w:p w14:paraId="588A1B9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（1）实际完成率</w:t>
      </w:r>
    </w:p>
    <w:p w14:paraId="34EF8251">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val="en-US" w:eastAsia="zh-CN"/>
        </w:rPr>
        <w:t>截至2023年12月31日，</w:t>
      </w:r>
      <w:r>
        <w:rPr>
          <w:rFonts w:hint="eastAsia" w:ascii="仿宋" w:hAnsi="仿宋" w:eastAsia="仿宋" w:cs="仿宋"/>
          <w:sz w:val="32"/>
          <w:szCs w:val="32"/>
          <w:highlight w:val="none"/>
        </w:rPr>
        <w:t>实际完成任务数为</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88.89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本项满分4分，扣0.44分，实际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分3.56</w:t>
      </w:r>
      <w:r>
        <w:rPr>
          <w:rFonts w:hint="eastAsia" w:ascii="仿宋" w:hAnsi="仿宋" w:eastAsia="仿宋" w:cs="仿宋"/>
          <w:sz w:val="32"/>
          <w:szCs w:val="32"/>
          <w:highlight w:val="none"/>
        </w:rPr>
        <w:t>分。</w:t>
      </w:r>
    </w:p>
    <w:p w14:paraId="7E538969">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（2）完成及时率</w:t>
      </w:r>
    </w:p>
    <w:p w14:paraId="0B6CC11F">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，实际及时完成任务数为</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个，实际完成率为</w:t>
      </w:r>
      <w:r>
        <w:rPr>
          <w:rFonts w:hint="eastAsia" w:ascii="仿宋" w:hAnsi="仿宋" w:eastAsia="仿宋" w:cs="仿宋"/>
          <w:sz w:val="32"/>
          <w:szCs w:val="32"/>
          <w:highlight w:val="none"/>
          <w:lang w:val="en-US" w:eastAsia="zh-CN"/>
        </w:rPr>
        <w:t>88.89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本项满分4分，扣0.44分，实际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分3.56</w:t>
      </w:r>
      <w:r>
        <w:rPr>
          <w:rFonts w:hint="eastAsia" w:ascii="仿宋" w:hAnsi="仿宋" w:eastAsia="仿宋" w:cs="仿宋"/>
          <w:sz w:val="32"/>
          <w:szCs w:val="32"/>
          <w:highlight w:val="none"/>
        </w:rPr>
        <w:t>分。</w:t>
      </w:r>
    </w:p>
    <w:p w14:paraId="0CF1CE54">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（3）质量达标率</w:t>
      </w:r>
    </w:p>
    <w:p w14:paraId="28C87708">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rPr>
        <w:t>2023年计划完成项目数为</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个，截至2023年12月</w:t>
      </w:r>
      <w:r>
        <w:rPr>
          <w:rFonts w:hint="eastAsia" w:ascii="仿宋" w:hAnsi="仿宋" w:eastAsia="仿宋" w:cs="仿宋"/>
          <w:sz w:val="32"/>
          <w:szCs w:val="32"/>
          <w:highlight w:val="none"/>
          <w:lang w:val="en-US" w:eastAsia="zh-CN"/>
        </w:rPr>
        <w:t>31日</w:t>
      </w:r>
      <w:r>
        <w:rPr>
          <w:rFonts w:hint="eastAsia" w:ascii="仿宋" w:hAnsi="仿宋" w:eastAsia="仿宋" w:cs="仿宋"/>
          <w:sz w:val="32"/>
          <w:szCs w:val="32"/>
          <w:highlight w:val="none"/>
        </w:rPr>
        <w:t>，实际完成工作数中达到部门绩效目标要求</w:t>
      </w:r>
      <w:r>
        <w:rPr>
          <w:rFonts w:hint="eastAsia" w:ascii="仿宋" w:hAnsi="仿宋" w:eastAsia="仿宋" w:cs="仿宋"/>
          <w:sz w:val="32"/>
          <w:szCs w:val="32"/>
          <w:highlight w:val="none"/>
          <w:lang w:val="en-US" w:eastAsia="zh-CN"/>
        </w:rPr>
        <w:t>质量的</w:t>
      </w:r>
      <w:r>
        <w:rPr>
          <w:rFonts w:hint="eastAsia" w:ascii="仿宋" w:hAnsi="仿宋" w:eastAsia="仿宋" w:cs="仿宋"/>
          <w:sz w:val="32"/>
          <w:szCs w:val="32"/>
          <w:highlight w:val="none"/>
        </w:rPr>
        <w:t>工作任务数为</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个，质量达标率</w:t>
      </w:r>
      <w:r>
        <w:rPr>
          <w:rFonts w:hint="eastAsia" w:ascii="仿宋" w:hAnsi="仿宋" w:eastAsia="仿宋" w:cs="仿宋"/>
          <w:sz w:val="32"/>
          <w:szCs w:val="32"/>
          <w:highlight w:val="none"/>
          <w:lang w:val="en-US" w:eastAsia="zh-CN"/>
        </w:rPr>
        <w:t>88.89</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本项满分4分，扣0.44分，实际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分3.56</w:t>
      </w:r>
      <w:r>
        <w:rPr>
          <w:rFonts w:hint="eastAsia" w:ascii="仿宋" w:hAnsi="仿宋" w:eastAsia="仿宋" w:cs="仿宋"/>
          <w:sz w:val="32"/>
          <w:szCs w:val="32"/>
          <w:highlight w:val="none"/>
        </w:rPr>
        <w:t>分。</w:t>
      </w:r>
    </w:p>
    <w:p w14:paraId="4019C12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（4）重点工作办结率</w:t>
      </w:r>
    </w:p>
    <w:p w14:paraId="2B55D4C6">
      <w:pPr>
        <w:pStyle w:val="9"/>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市技工学校将</w:t>
      </w:r>
      <w:r>
        <w:rPr>
          <w:rFonts w:hint="eastAsia" w:ascii="仿宋" w:hAnsi="仿宋" w:eastAsia="仿宋" w:cs="仿宋"/>
          <w:sz w:val="32"/>
          <w:szCs w:val="32"/>
          <w:highlight w:val="none"/>
        </w:rPr>
        <w:t>项目支出金额大于</w:t>
      </w:r>
      <w:r>
        <w:rPr>
          <w:rFonts w:hint="eastAsia" w:ascii="仿宋" w:hAnsi="仿宋" w:eastAsia="仿宋" w:cs="仿宋"/>
          <w:sz w:val="32"/>
          <w:szCs w:val="32"/>
          <w:highlight w:val="none"/>
          <w:lang w:val="en-US" w:eastAsia="zh-CN"/>
        </w:rPr>
        <w:t>5.00</w:t>
      </w:r>
      <w:r>
        <w:rPr>
          <w:rFonts w:hint="eastAsia" w:ascii="仿宋" w:hAnsi="仿宋" w:eastAsia="仿宋" w:cs="仿宋"/>
          <w:sz w:val="32"/>
          <w:szCs w:val="32"/>
          <w:highlight w:val="none"/>
        </w:rPr>
        <w:t>万元的列为</w:t>
      </w:r>
      <w:r>
        <w:rPr>
          <w:rFonts w:hint="eastAsia" w:ascii="仿宋" w:hAnsi="仿宋" w:eastAsia="仿宋" w:cs="仿宋"/>
          <w:sz w:val="32"/>
          <w:szCs w:val="32"/>
          <w:highlight w:val="none"/>
          <w:lang w:val="en-US"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2023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重</w:t>
      </w:r>
      <w:r>
        <w:rPr>
          <w:rFonts w:hint="eastAsia" w:ascii="仿宋" w:hAnsi="仿宋" w:eastAsia="仿宋" w:cs="仿宋"/>
          <w:sz w:val="32"/>
          <w:szCs w:val="32"/>
          <w:highlight w:val="none"/>
        </w:rPr>
        <w:t>点项目</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个，</w:t>
      </w:r>
      <w:r>
        <w:rPr>
          <w:rFonts w:hint="eastAsia" w:ascii="仿宋" w:hAnsi="仿宋" w:eastAsia="仿宋" w:cs="仿宋"/>
          <w:sz w:val="32"/>
          <w:szCs w:val="32"/>
          <w:highlight w:val="none"/>
          <w:lang w:eastAsia="zh-CN"/>
        </w:rPr>
        <w:t>截至2023年</w:t>
      </w:r>
      <w:r>
        <w:rPr>
          <w:rFonts w:hint="eastAsia" w:ascii="仿宋" w:hAnsi="仿宋" w:eastAsia="仿宋" w:cs="仿宋"/>
          <w:sz w:val="32"/>
          <w:szCs w:val="32"/>
          <w:highlight w:val="none"/>
          <w:lang w:val="en-US" w:eastAsia="zh-CN"/>
        </w:rPr>
        <w:t>12月31日，7个重点项目均已完成</w:t>
      </w:r>
      <w:r>
        <w:rPr>
          <w:rFonts w:hint="eastAsia" w:ascii="仿宋" w:hAnsi="仿宋" w:eastAsia="仿宋" w:cs="仿宋"/>
          <w:sz w:val="32"/>
          <w:szCs w:val="32"/>
          <w:highlight w:val="none"/>
        </w:rPr>
        <w:t>。重点工作办结率为</w:t>
      </w:r>
      <w:r>
        <w:rPr>
          <w:rFonts w:hint="eastAsia" w:ascii="仿宋" w:hAnsi="仿宋" w:eastAsia="仿宋" w:cs="仿宋"/>
          <w:sz w:val="32"/>
          <w:szCs w:val="32"/>
          <w:highlight w:val="none"/>
          <w:lang w:val="en-US" w:eastAsia="zh-CN"/>
        </w:rPr>
        <w:t>87.50</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val="en-US" w:eastAsia="zh-CN"/>
        </w:rPr>
        <w:t>项满分4</w:t>
      </w:r>
      <w:r>
        <w:rPr>
          <w:rFonts w:hint="eastAsia" w:ascii="仿宋" w:hAnsi="仿宋" w:eastAsia="仿宋" w:cs="仿宋"/>
          <w:sz w:val="32"/>
          <w:szCs w:val="32"/>
          <w:highlight w:val="none"/>
        </w:rPr>
        <w:t>分，</w:t>
      </w:r>
      <w:r>
        <w:rPr>
          <w:rFonts w:hint="eastAsia" w:ascii="仿宋" w:hAnsi="仿宋" w:eastAsia="仿宋" w:cs="仿宋"/>
          <w:sz w:val="32"/>
          <w:szCs w:val="32"/>
          <w:highlight w:val="none"/>
          <w:lang w:val="en-US" w:eastAsia="zh-CN"/>
        </w:rPr>
        <w:t>扣0.5分，实际</w:t>
      </w:r>
      <w:r>
        <w:rPr>
          <w:rFonts w:hint="eastAsia" w:ascii="仿宋" w:hAnsi="仿宋" w:eastAsia="仿宋" w:cs="仿宋"/>
          <w:sz w:val="32"/>
          <w:szCs w:val="32"/>
          <w:highlight w:val="none"/>
        </w:rPr>
        <w:t>得</w:t>
      </w:r>
      <w:r>
        <w:rPr>
          <w:rFonts w:hint="eastAsia" w:ascii="仿宋" w:hAnsi="仿宋" w:eastAsia="仿宋" w:cs="仿宋"/>
          <w:sz w:val="32"/>
          <w:szCs w:val="32"/>
          <w:highlight w:val="none"/>
          <w:lang w:val="en-US" w:eastAsia="zh-CN"/>
        </w:rPr>
        <w:t>分3.5</w:t>
      </w:r>
      <w:r>
        <w:rPr>
          <w:rFonts w:hint="eastAsia" w:ascii="仿宋" w:hAnsi="仿宋" w:eastAsia="仿宋" w:cs="仿宋"/>
          <w:sz w:val="32"/>
          <w:szCs w:val="32"/>
          <w:highlight w:val="none"/>
        </w:rPr>
        <w:t>分。</w:t>
      </w:r>
    </w:p>
    <w:p w14:paraId="7C9EED3B">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outlineLvl w:val="1"/>
        <w:rPr>
          <w:rFonts w:hint="eastAsia" w:ascii="仿宋" w:hAnsi="仿宋" w:eastAsia="仿宋" w:cs="仿宋"/>
          <w:b/>
          <w:bCs/>
          <w:sz w:val="32"/>
          <w:szCs w:val="32"/>
          <w:highlight w:val="none"/>
        </w:rPr>
      </w:pPr>
      <w:bookmarkStart w:id="25" w:name="_Toc19186"/>
      <w:r>
        <w:rPr>
          <w:rFonts w:hint="eastAsia" w:ascii="仿宋" w:hAnsi="仿宋" w:eastAsia="仿宋" w:cs="仿宋"/>
          <w:b/>
          <w:bCs/>
          <w:sz w:val="32"/>
          <w:szCs w:val="32"/>
          <w:highlight w:val="none"/>
          <w:lang w:bidi="ar"/>
        </w:rPr>
        <w:t>（四）部门效益情况</w:t>
      </w:r>
      <w:bookmarkEnd w:id="25"/>
    </w:p>
    <w:p w14:paraId="119748AF">
      <w:pPr>
        <w:pStyle w:val="4"/>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从部门整体效果情况的履职效益方面情况进行评价，满分为20分，总得分</w:t>
      </w:r>
      <w:r>
        <w:rPr>
          <w:rFonts w:hint="eastAsia" w:ascii="仿宋" w:hAnsi="仿宋" w:eastAsia="仿宋" w:cs="仿宋"/>
          <w:sz w:val="32"/>
          <w:szCs w:val="32"/>
          <w:highlight w:val="none"/>
          <w:lang w:val="en-US" w:eastAsia="zh-CN"/>
        </w:rPr>
        <w:t>19.25</w:t>
      </w:r>
      <w:r>
        <w:rPr>
          <w:rFonts w:hint="eastAsia" w:ascii="仿宋" w:hAnsi="仿宋" w:eastAsia="仿宋" w:cs="仿宋"/>
          <w:sz w:val="32"/>
          <w:szCs w:val="32"/>
          <w:highlight w:val="none"/>
        </w:rPr>
        <w:t>分。</w:t>
      </w:r>
    </w:p>
    <w:p w14:paraId="7534E639">
      <w:pPr>
        <w:keepNext w:val="0"/>
        <w:keepLines w:val="0"/>
        <w:pageBreakBefore w:val="0"/>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bidi="ar"/>
        </w:rPr>
        <w:t>表4-4部门效果情况得分表</w:t>
      </w:r>
    </w:p>
    <w:tbl>
      <w:tblPr>
        <w:tblStyle w:val="10"/>
        <w:tblW w:w="8595" w:type="dxa"/>
        <w:jc w:val="center"/>
        <w:tblBorders>
          <w:top w:val="single" w:color="auto" w:sz="8" w:space="0"/>
          <w:left w:val="none" w:color="auto" w:sz="6" w:space="0"/>
          <w:bottom w:val="single" w:color="auto" w:sz="8" w:space="0"/>
          <w:right w:val="non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1246"/>
        <w:gridCol w:w="704"/>
        <w:gridCol w:w="1478"/>
        <w:gridCol w:w="3098"/>
        <w:gridCol w:w="1122"/>
        <w:gridCol w:w="947"/>
      </w:tblGrid>
      <w:tr w14:paraId="38D3B73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tcBorders>
              <w:top w:val="single" w:color="auto" w:sz="8" w:space="0"/>
              <w:left w:val="nil"/>
              <w:bottom w:val="dotted" w:color="auto" w:sz="4" w:space="0"/>
              <w:right w:val="dotted" w:color="auto" w:sz="4" w:space="0"/>
            </w:tcBorders>
            <w:noWrap/>
            <w:vAlign w:val="center"/>
          </w:tcPr>
          <w:p w14:paraId="27E20A21">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一级指标</w:t>
            </w:r>
          </w:p>
        </w:tc>
        <w:tc>
          <w:tcPr>
            <w:tcW w:w="704" w:type="dxa"/>
            <w:tcBorders>
              <w:top w:val="single" w:color="auto" w:sz="8" w:space="0"/>
              <w:left w:val="dotted" w:color="auto" w:sz="4" w:space="0"/>
              <w:bottom w:val="dotted" w:color="auto" w:sz="4" w:space="0"/>
              <w:right w:val="dotted" w:color="auto" w:sz="4" w:space="0"/>
            </w:tcBorders>
            <w:noWrap/>
            <w:vAlign w:val="center"/>
          </w:tcPr>
          <w:p w14:paraId="51951AD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1478" w:type="dxa"/>
            <w:tcBorders>
              <w:top w:val="single" w:color="auto" w:sz="8" w:space="0"/>
              <w:left w:val="dotted" w:color="auto" w:sz="4" w:space="0"/>
              <w:bottom w:val="dotted" w:color="auto" w:sz="4" w:space="0"/>
              <w:right w:val="dotted" w:color="auto" w:sz="4" w:space="0"/>
            </w:tcBorders>
            <w:noWrap/>
            <w:vAlign w:val="center"/>
          </w:tcPr>
          <w:p w14:paraId="5403F16E">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二级指标</w:t>
            </w:r>
          </w:p>
        </w:tc>
        <w:tc>
          <w:tcPr>
            <w:tcW w:w="3098" w:type="dxa"/>
            <w:tcBorders>
              <w:top w:val="single" w:color="auto" w:sz="8" w:space="0"/>
              <w:left w:val="dotted" w:color="auto" w:sz="4" w:space="0"/>
              <w:bottom w:val="dotted" w:color="auto" w:sz="4" w:space="0"/>
              <w:right w:val="dotted" w:color="auto" w:sz="4" w:space="0"/>
            </w:tcBorders>
            <w:noWrap/>
            <w:vAlign w:val="center"/>
          </w:tcPr>
          <w:p w14:paraId="17994A6F">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三级指标</w:t>
            </w:r>
          </w:p>
        </w:tc>
        <w:tc>
          <w:tcPr>
            <w:tcW w:w="1122" w:type="dxa"/>
            <w:tcBorders>
              <w:top w:val="single" w:color="auto" w:sz="8" w:space="0"/>
              <w:left w:val="dotted" w:color="auto" w:sz="4" w:space="0"/>
              <w:bottom w:val="dotted" w:color="auto" w:sz="4" w:space="0"/>
              <w:right w:val="dotted" w:color="auto" w:sz="4" w:space="0"/>
            </w:tcBorders>
            <w:noWrap/>
            <w:vAlign w:val="center"/>
          </w:tcPr>
          <w:p w14:paraId="11E33EF2">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分值</w:t>
            </w:r>
          </w:p>
        </w:tc>
        <w:tc>
          <w:tcPr>
            <w:tcW w:w="947" w:type="dxa"/>
            <w:tcBorders>
              <w:top w:val="single" w:color="auto" w:sz="8" w:space="0"/>
              <w:left w:val="dotted" w:color="auto" w:sz="4" w:space="0"/>
              <w:bottom w:val="dotted" w:color="auto" w:sz="4" w:space="0"/>
              <w:right w:val="nil"/>
            </w:tcBorders>
            <w:noWrap/>
            <w:vAlign w:val="center"/>
          </w:tcPr>
          <w:p w14:paraId="072237B0">
            <w:pPr>
              <w:widowControl/>
              <w:autoSpaceDE w:val="0"/>
              <w:spacing w:before="10" w:line="240" w:lineRule="auto"/>
              <w:jc w:val="center"/>
              <w:textAlignment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4"/>
                <w:szCs w:val="24"/>
                <w:highlight w:val="none"/>
                <w:lang w:bidi="ar"/>
              </w:rPr>
              <w:t>得分</w:t>
            </w:r>
          </w:p>
        </w:tc>
      </w:tr>
      <w:tr w14:paraId="3FBF074F">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restart"/>
            <w:tcBorders>
              <w:top w:val="dotted" w:color="auto" w:sz="4" w:space="0"/>
              <w:left w:val="nil"/>
              <w:right w:val="dotted" w:color="auto" w:sz="4" w:space="0"/>
            </w:tcBorders>
            <w:noWrap/>
            <w:vAlign w:val="center"/>
          </w:tcPr>
          <w:p w14:paraId="27591A27">
            <w:pPr>
              <w:rPr>
                <w:rFonts w:hint="eastAsia" w:ascii="仿宋" w:hAnsi="仿宋" w:eastAsia="仿宋" w:cs="仿宋"/>
                <w:sz w:val="24"/>
                <w:szCs w:val="24"/>
                <w:highlight w:val="none"/>
              </w:rPr>
            </w:pPr>
          </w:p>
        </w:tc>
        <w:tc>
          <w:tcPr>
            <w:tcW w:w="704" w:type="dxa"/>
            <w:vMerge w:val="restart"/>
            <w:tcBorders>
              <w:top w:val="dotted" w:color="auto" w:sz="4" w:space="0"/>
              <w:left w:val="dotted" w:color="auto" w:sz="4" w:space="0"/>
              <w:right w:val="dotted" w:color="auto" w:sz="4" w:space="0"/>
            </w:tcBorders>
            <w:noWrap/>
            <w:vAlign w:val="center"/>
          </w:tcPr>
          <w:p w14:paraId="2430B7C8">
            <w:pPr>
              <w:rPr>
                <w:rFonts w:hint="eastAsia" w:ascii="仿宋" w:hAnsi="仿宋" w:eastAsia="仿宋" w:cs="仿宋"/>
                <w:sz w:val="24"/>
                <w:szCs w:val="24"/>
                <w:highlight w:val="none"/>
              </w:rPr>
            </w:pPr>
          </w:p>
        </w:tc>
        <w:tc>
          <w:tcPr>
            <w:tcW w:w="1478" w:type="dxa"/>
            <w:vMerge w:val="restart"/>
            <w:tcBorders>
              <w:top w:val="dotted" w:color="auto" w:sz="4" w:space="0"/>
              <w:left w:val="dotted" w:color="auto" w:sz="4" w:space="0"/>
              <w:right w:val="dotted" w:color="auto" w:sz="4" w:space="0"/>
            </w:tcBorders>
            <w:noWrap w:val="0"/>
            <w:vAlign w:val="center"/>
          </w:tcPr>
          <w:p w14:paraId="70649159">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33D3028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社会效益</w:t>
            </w:r>
          </w:p>
        </w:tc>
        <w:tc>
          <w:tcPr>
            <w:tcW w:w="1122" w:type="dxa"/>
            <w:tcBorders>
              <w:top w:val="dotted" w:color="auto" w:sz="4" w:space="0"/>
              <w:left w:val="dotted" w:color="auto" w:sz="4" w:space="0"/>
              <w:bottom w:val="dotted" w:color="auto" w:sz="4" w:space="0"/>
              <w:right w:val="dotted" w:color="auto" w:sz="4" w:space="0"/>
            </w:tcBorders>
            <w:noWrap/>
            <w:vAlign w:val="center"/>
          </w:tcPr>
          <w:p w14:paraId="41EB02C5">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8</w:t>
            </w:r>
          </w:p>
        </w:tc>
        <w:tc>
          <w:tcPr>
            <w:tcW w:w="947" w:type="dxa"/>
            <w:tcBorders>
              <w:top w:val="dotted" w:color="auto" w:sz="4" w:space="0"/>
              <w:left w:val="dotted" w:color="auto" w:sz="4" w:space="0"/>
              <w:bottom w:val="dotted" w:color="auto" w:sz="4" w:space="0"/>
              <w:right w:val="nil"/>
            </w:tcBorders>
            <w:noWrap/>
            <w:vAlign w:val="center"/>
          </w:tcPr>
          <w:p w14:paraId="54F04891">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r>
      <w:tr w14:paraId="08017C20">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08779FF6">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30EE17D7">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6C2CC165">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229747E9">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bidi="ar"/>
              </w:rPr>
              <w:t>可持续影响</w:t>
            </w:r>
          </w:p>
        </w:tc>
        <w:tc>
          <w:tcPr>
            <w:tcW w:w="1122" w:type="dxa"/>
            <w:tcBorders>
              <w:top w:val="dotted" w:color="auto" w:sz="4" w:space="0"/>
              <w:left w:val="dotted" w:color="auto" w:sz="4" w:space="0"/>
              <w:bottom w:val="dotted" w:color="auto" w:sz="4" w:space="0"/>
              <w:right w:val="dotted" w:color="auto" w:sz="4" w:space="0"/>
            </w:tcBorders>
            <w:noWrap/>
            <w:vAlign w:val="center"/>
          </w:tcPr>
          <w:p w14:paraId="4A16F66E">
            <w:pPr>
              <w:widowControl/>
              <w:autoSpaceDE w:val="0"/>
              <w:spacing w:line="240" w:lineRule="auto"/>
              <w:jc w:val="center"/>
              <w:textAlignment w:val="center"/>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w:t>
            </w:r>
          </w:p>
        </w:tc>
        <w:tc>
          <w:tcPr>
            <w:tcW w:w="947" w:type="dxa"/>
            <w:tcBorders>
              <w:top w:val="dotted" w:color="auto" w:sz="4" w:space="0"/>
              <w:left w:val="dotted" w:color="auto" w:sz="4" w:space="0"/>
              <w:bottom w:val="dotted" w:color="auto" w:sz="4" w:space="0"/>
              <w:right w:val="nil"/>
            </w:tcBorders>
            <w:noWrap/>
            <w:vAlign w:val="center"/>
          </w:tcPr>
          <w:p w14:paraId="540E0E9D">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r>
      <w:tr w14:paraId="01638BAB">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1246" w:type="dxa"/>
            <w:vMerge w:val="continue"/>
            <w:tcBorders>
              <w:top w:val="dotted" w:color="auto" w:sz="4" w:space="0"/>
              <w:left w:val="nil"/>
              <w:bottom w:val="dotted" w:color="auto" w:sz="4" w:space="0"/>
              <w:right w:val="dotted" w:color="auto" w:sz="4" w:space="0"/>
            </w:tcBorders>
            <w:noWrap/>
            <w:vAlign w:val="center"/>
          </w:tcPr>
          <w:p w14:paraId="652CDC8E">
            <w:pPr>
              <w:rPr>
                <w:rFonts w:hint="eastAsia" w:ascii="仿宋" w:hAnsi="仿宋" w:eastAsia="仿宋" w:cs="仿宋"/>
                <w:sz w:val="24"/>
                <w:szCs w:val="24"/>
                <w:highlight w:val="none"/>
              </w:rPr>
            </w:pPr>
          </w:p>
        </w:tc>
        <w:tc>
          <w:tcPr>
            <w:tcW w:w="704" w:type="dxa"/>
            <w:vMerge w:val="continue"/>
            <w:tcBorders>
              <w:top w:val="dotted" w:color="auto" w:sz="4" w:space="0"/>
              <w:left w:val="dotted" w:color="auto" w:sz="4" w:space="0"/>
              <w:bottom w:val="dotted" w:color="auto" w:sz="4" w:space="0"/>
              <w:right w:val="dotted" w:color="auto" w:sz="4" w:space="0"/>
            </w:tcBorders>
            <w:noWrap/>
            <w:vAlign w:val="center"/>
          </w:tcPr>
          <w:p w14:paraId="74E5A772">
            <w:pPr>
              <w:rPr>
                <w:rFonts w:hint="eastAsia" w:ascii="仿宋" w:hAnsi="仿宋" w:eastAsia="仿宋" w:cs="仿宋"/>
                <w:sz w:val="24"/>
                <w:szCs w:val="24"/>
                <w:highlight w:val="none"/>
              </w:rPr>
            </w:pPr>
          </w:p>
        </w:tc>
        <w:tc>
          <w:tcPr>
            <w:tcW w:w="1478" w:type="dxa"/>
            <w:vMerge w:val="continue"/>
            <w:tcBorders>
              <w:top w:val="dotted" w:color="auto" w:sz="4" w:space="0"/>
              <w:left w:val="dotted" w:color="auto" w:sz="4" w:space="0"/>
              <w:bottom w:val="dotted" w:color="auto" w:sz="4" w:space="0"/>
              <w:right w:val="dotted" w:color="auto" w:sz="4" w:space="0"/>
            </w:tcBorders>
            <w:noWrap w:val="0"/>
            <w:vAlign w:val="center"/>
          </w:tcPr>
          <w:p w14:paraId="4B923E7F">
            <w:pPr>
              <w:rPr>
                <w:rFonts w:hint="eastAsia" w:ascii="仿宋" w:hAnsi="仿宋" w:eastAsia="仿宋" w:cs="仿宋"/>
                <w:sz w:val="24"/>
                <w:szCs w:val="24"/>
                <w:highlight w:val="none"/>
              </w:rPr>
            </w:pPr>
          </w:p>
        </w:tc>
        <w:tc>
          <w:tcPr>
            <w:tcW w:w="3098" w:type="dxa"/>
            <w:tcBorders>
              <w:top w:val="dotted" w:color="auto" w:sz="4" w:space="0"/>
              <w:left w:val="dotted" w:color="auto" w:sz="4" w:space="0"/>
              <w:bottom w:val="dotted" w:color="auto" w:sz="4" w:space="0"/>
              <w:right w:val="dotted" w:color="auto" w:sz="4" w:space="0"/>
            </w:tcBorders>
            <w:noWrap/>
            <w:vAlign w:val="center"/>
          </w:tcPr>
          <w:p w14:paraId="4DCECDCD">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社会公众或服务对象满意度</w:t>
            </w:r>
          </w:p>
        </w:tc>
        <w:tc>
          <w:tcPr>
            <w:tcW w:w="1122" w:type="dxa"/>
            <w:tcBorders>
              <w:top w:val="dotted" w:color="auto" w:sz="4" w:space="0"/>
              <w:left w:val="dotted" w:color="auto" w:sz="4" w:space="0"/>
              <w:bottom w:val="dotted" w:color="auto" w:sz="4" w:space="0"/>
              <w:right w:val="dotted" w:color="auto" w:sz="4" w:space="0"/>
            </w:tcBorders>
            <w:noWrap/>
            <w:vAlign w:val="center"/>
          </w:tcPr>
          <w:p w14:paraId="029F7306">
            <w:pPr>
              <w:widowControl/>
              <w:autoSpaceDE w:val="0"/>
              <w:spacing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bidi="ar"/>
              </w:rPr>
              <w:t>5</w:t>
            </w:r>
          </w:p>
        </w:tc>
        <w:tc>
          <w:tcPr>
            <w:tcW w:w="947" w:type="dxa"/>
            <w:tcBorders>
              <w:top w:val="dotted" w:color="auto" w:sz="4" w:space="0"/>
              <w:left w:val="dotted" w:color="auto" w:sz="4" w:space="0"/>
              <w:bottom w:val="dotted" w:color="auto" w:sz="4" w:space="0"/>
              <w:right w:val="nil"/>
            </w:tcBorders>
            <w:noWrap/>
            <w:vAlign w:val="center"/>
          </w:tcPr>
          <w:p w14:paraId="08AD9DCB">
            <w:pPr>
              <w:widowControl/>
              <w:autoSpaceDE w:val="0"/>
              <w:spacing w:before="10" w:line="240" w:lineRule="auto"/>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4.25</w:t>
            </w:r>
          </w:p>
        </w:tc>
      </w:tr>
      <w:tr w14:paraId="0CC9122A">
        <w:tblPrEx>
          <w:tblBorders>
            <w:top w:val="single" w:color="auto" w:sz="8" w:space="0"/>
            <w:left w:val="none" w:color="auto" w:sz="6" w:space="0"/>
            <w:bottom w:val="single" w:color="auto" w:sz="8" w:space="0"/>
            <w:right w:val="none" w:color="auto" w:sz="6" w:space="0"/>
            <w:insideH w:val="dotted" w:color="auto" w:sz="4" w:space="0"/>
            <w:insideV w:val="dotted" w:color="auto" w:sz="4" w:space="0"/>
          </w:tblBorders>
          <w:tblCellMar>
            <w:top w:w="0" w:type="dxa"/>
            <w:left w:w="108" w:type="dxa"/>
            <w:bottom w:w="0" w:type="dxa"/>
            <w:right w:w="108" w:type="dxa"/>
          </w:tblCellMar>
        </w:tblPrEx>
        <w:trPr>
          <w:trHeight w:val="386" w:hRule="atLeast"/>
          <w:jc w:val="center"/>
        </w:trPr>
        <w:tc>
          <w:tcPr>
            <w:tcW w:w="6526" w:type="dxa"/>
            <w:gridSpan w:val="4"/>
            <w:tcBorders>
              <w:top w:val="dotted" w:color="auto" w:sz="4" w:space="0"/>
              <w:left w:val="nil"/>
              <w:bottom w:val="single" w:color="auto" w:sz="8" w:space="0"/>
              <w:right w:val="dotted" w:color="auto" w:sz="4" w:space="0"/>
            </w:tcBorders>
            <w:noWrap/>
            <w:vAlign w:val="center"/>
          </w:tcPr>
          <w:p w14:paraId="3114610A">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合计</w:t>
            </w:r>
          </w:p>
        </w:tc>
        <w:tc>
          <w:tcPr>
            <w:tcW w:w="1122" w:type="dxa"/>
            <w:tcBorders>
              <w:top w:val="dotted" w:color="auto" w:sz="4" w:space="0"/>
              <w:left w:val="dotted" w:color="auto" w:sz="4" w:space="0"/>
              <w:bottom w:val="single" w:color="auto" w:sz="8" w:space="0"/>
              <w:right w:val="dotted" w:color="auto" w:sz="4" w:space="0"/>
            </w:tcBorders>
            <w:noWrap/>
            <w:vAlign w:val="center"/>
          </w:tcPr>
          <w:p w14:paraId="0D01D6EA">
            <w:pPr>
              <w:widowControl/>
              <w:autoSpaceDE w:val="0"/>
              <w:spacing w:before="10" w:line="240" w:lineRule="auto"/>
              <w:jc w:val="center"/>
              <w:textAlignment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lang w:bidi="ar"/>
              </w:rPr>
              <w:t>20</w:t>
            </w:r>
          </w:p>
        </w:tc>
        <w:tc>
          <w:tcPr>
            <w:tcW w:w="947" w:type="dxa"/>
            <w:tcBorders>
              <w:top w:val="dotted" w:color="auto" w:sz="4" w:space="0"/>
              <w:left w:val="dotted" w:color="auto" w:sz="4" w:space="0"/>
              <w:bottom w:val="single" w:color="auto" w:sz="8" w:space="0"/>
              <w:right w:val="nil"/>
            </w:tcBorders>
            <w:noWrap/>
            <w:vAlign w:val="center"/>
          </w:tcPr>
          <w:p w14:paraId="5F5CADCC">
            <w:pPr>
              <w:widowControl/>
              <w:autoSpaceDE w:val="0"/>
              <w:spacing w:before="10" w:line="240" w:lineRule="auto"/>
              <w:jc w:val="center"/>
              <w:textAlignment w:val="cente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19.25</w:t>
            </w:r>
          </w:p>
        </w:tc>
      </w:tr>
    </w:tbl>
    <w:p w14:paraId="54358D99">
      <w:pPr>
        <w:pStyle w:val="9"/>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lang w:bidi="ar"/>
        </w:rPr>
        <w:t>）社会效益</w:t>
      </w:r>
    </w:p>
    <w:p w14:paraId="3F7FD7EF">
      <w:pPr>
        <w:pStyle w:val="9"/>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bidi="ar"/>
        </w:rPr>
        <w:t>2023年</w:t>
      </w: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lang w:bidi="ar"/>
        </w:rPr>
        <w:t>履行部门相关职责，</w:t>
      </w:r>
      <w:r>
        <w:rPr>
          <w:rFonts w:hint="eastAsia" w:ascii="仿宋" w:hAnsi="仿宋" w:eastAsia="仿宋" w:cs="仿宋"/>
          <w:color w:val="000000"/>
          <w:kern w:val="0"/>
          <w:sz w:val="32"/>
          <w:szCs w:val="32"/>
          <w:lang w:val="en-US" w:eastAsia="zh-CN" w:bidi="ar"/>
        </w:rPr>
        <w:t>在西藏自治区第一届技工(职业)院校技能大赛上，我校取得一金二银二铜二优胜奖的优异成绩；在西藏自治区第五届职业技能大赛中，我校选手参加了客房服务员和电子商务师两个项目的比赛，取得两铜两优胜奖的优异成绩；借助“广东技工----茶艺”东风，我校在广州举办的“2023年众创杯”团队自强类赛道比赛中，以“易贡茶场天使项目助残创业”取得了优胜奖成绩，在学校技能竞赛史上写下浓墨重彩的一笔</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sz w:val="32"/>
          <w:szCs w:val="32"/>
          <w:highlight w:val="none"/>
          <w:shd w:val="clear" w:color="auto" w:fill="auto"/>
          <w:lang w:val="en-US" w:eastAsia="zh-CN" w:bidi="ar"/>
        </w:rPr>
        <w:t>社会效益显著。本项</w:t>
      </w:r>
      <w:r>
        <w:rPr>
          <w:rFonts w:hint="eastAsia" w:ascii="仿宋" w:hAnsi="仿宋" w:eastAsia="仿宋" w:cs="仿宋"/>
          <w:sz w:val="32"/>
          <w:szCs w:val="32"/>
          <w:highlight w:val="none"/>
          <w:lang w:val="en-US" w:eastAsia="zh-CN" w:bidi="ar"/>
        </w:rPr>
        <w:t>满分8分，实际得分8分。</w:t>
      </w:r>
    </w:p>
    <w:p w14:paraId="487650EC">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）可持续影响或生态效益</w:t>
      </w:r>
    </w:p>
    <w:p w14:paraId="2497BC41">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color w:val="000000"/>
          <w:kern w:val="0"/>
          <w:sz w:val="32"/>
          <w:szCs w:val="32"/>
          <w:lang w:val="en-US" w:eastAsia="zh-CN" w:bidi="ar"/>
        </w:rPr>
        <w:t>大力实施“一对一”帮扶，制定《“青蓝计划(传帮带)”实施管理办法》，通过推门听课、微课比赛、班主任培训、教师职业能力培训(心理健康培训、工学一体化培训等)加强教师培训和团队合作，注重师德师风建设，并加强与内地优秀学校交流与合作。努力建设一支高素质、高水平、高层次的师资队伍，为学校的发展提供坚实的保障</w:t>
      </w:r>
      <w:r>
        <w:rPr>
          <w:rFonts w:hint="eastAsia" w:ascii="仿宋" w:hAnsi="仿宋" w:eastAsia="仿宋" w:cs="仿宋"/>
          <w:sz w:val="32"/>
          <w:szCs w:val="32"/>
          <w:highlight w:val="none"/>
          <w:lang w:val="en-US" w:eastAsia="zh-CN" w:bidi="ar"/>
        </w:rPr>
        <w:t>。根据学校业务需求和工作流程，总务科在后勤管理的组织架构上进行了优化。为确保后勤各部门之间的职责明确、协作顺畅，学校将后勤管理服务进行了外包，专业的物业服务公司拥有丰富的经验和专业知识，能够为学校提供更高质量的服务，能够应对各种复杂情况，从而使学校的后勤管理达到最佳状态。</w:t>
      </w:r>
      <w:r>
        <w:rPr>
          <w:rFonts w:hint="eastAsia" w:ascii="仿宋" w:hAnsi="仿宋" w:eastAsia="仿宋" w:cs="仿宋"/>
          <w:sz w:val="32"/>
          <w:szCs w:val="32"/>
          <w:highlight w:val="none"/>
          <w:lang w:eastAsia="zh-CN" w:bidi="ar"/>
        </w:rPr>
        <w:t>可持续影响</w:t>
      </w:r>
      <w:r>
        <w:rPr>
          <w:rFonts w:hint="eastAsia" w:ascii="仿宋" w:hAnsi="仿宋" w:eastAsia="仿宋" w:cs="仿宋"/>
          <w:sz w:val="32"/>
          <w:szCs w:val="32"/>
          <w:highlight w:val="none"/>
          <w:lang w:val="en-US" w:eastAsia="zh-CN" w:bidi="ar"/>
        </w:rPr>
        <w:t>显著，本项满分7分，实际得分7分。</w:t>
      </w:r>
    </w:p>
    <w:p w14:paraId="789B2600">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（3）社会公众或服务对象满意度</w:t>
      </w:r>
    </w:p>
    <w:p w14:paraId="7B1FB52D">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经统计，2023年</w:t>
      </w:r>
      <w:r>
        <w:rPr>
          <w:rFonts w:hint="eastAsia" w:ascii="仿宋" w:hAnsi="仿宋" w:eastAsia="仿宋" w:cs="仿宋"/>
          <w:sz w:val="32"/>
          <w:szCs w:val="32"/>
          <w:highlight w:val="none"/>
          <w:lang w:val="en-US" w:eastAsia="zh-CN"/>
        </w:rPr>
        <w:t>市技工学校</w:t>
      </w:r>
      <w:r>
        <w:rPr>
          <w:rFonts w:hint="eastAsia" w:ascii="仿宋" w:hAnsi="仿宋" w:eastAsia="仿宋" w:cs="仿宋"/>
          <w:sz w:val="32"/>
          <w:szCs w:val="32"/>
          <w:highlight w:val="none"/>
          <w:lang w:val="en-US" w:eastAsia="zh-CN" w:bidi="ar"/>
        </w:rPr>
        <w:t>社会满意度调查问卷显示满意度为84.99%。满分5分，扣0.75分，实际得分4.25分。</w:t>
      </w:r>
    </w:p>
    <w:p w14:paraId="5D110E9F">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color w:val="000000"/>
          <w:kern w:val="0"/>
          <w:sz w:val="32"/>
          <w:szCs w:val="32"/>
          <w:highlight w:val="none"/>
          <w:lang w:val="en-US" w:eastAsia="zh-CN" w:bidi="ar"/>
        </w:rPr>
      </w:pPr>
      <w:bookmarkStart w:id="26" w:name="_Toc23095"/>
      <w:r>
        <w:rPr>
          <w:rFonts w:hint="eastAsia" w:ascii="仿宋" w:hAnsi="仿宋" w:eastAsia="仿宋" w:cs="仿宋"/>
          <w:b/>
          <w:sz w:val="32"/>
          <w:szCs w:val="32"/>
          <w:highlight w:val="none"/>
        </w:rPr>
        <w:t>主要问题分析</w:t>
      </w:r>
      <w:bookmarkEnd w:id="26"/>
    </w:p>
    <w:p w14:paraId="46D59BA6">
      <w:pPr>
        <w:keepNext w:val="0"/>
        <w:keepLines w:val="0"/>
        <w:pageBreakBefore w:val="0"/>
        <w:widowControl w:val="0"/>
        <w:tabs>
          <w:tab w:val="left" w:pos="360"/>
        </w:tabs>
        <w:kinsoku/>
        <w:wordWrap/>
        <w:overflowPunct/>
        <w:topLinePunct w:val="0"/>
        <w:autoSpaceDE w:val="0"/>
        <w:autoSpaceDN/>
        <w:bidi w:val="0"/>
        <w:adjustRightInd/>
        <w:snapToGrid/>
        <w:ind w:firstLine="640" w:firstLineChars="200"/>
        <w:jc w:val="left"/>
        <w:textAlignment w:val="auto"/>
        <w:outlineLvl w:val="1"/>
        <w:rPr>
          <w:rFonts w:hint="eastAsia" w:ascii="仿宋" w:hAnsi="仿宋" w:eastAsia="仿宋" w:cs="仿宋"/>
          <w:color w:val="000000"/>
          <w:kern w:val="0"/>
          <w:sz w:val="32"/>
          <w:szCs w:val="32"/>
          <w:highlight w:val="none"/>
          <w:lang w:val="en-US" w:eastAsia="zh-CN" w:bidi="ar"/>
        </w:rPr>
      </w:pPr>
      <w:bookmarkStart w:id="27" w:name="_Toc14537"/>
      <w:r>
        <w:rPr>
          <w:rFonts w:hint="eastAsia" w:ascii="仿宋" w:hAnsi="仿宋" w:eastAsia="仿宋" w:cs="仿宋"/>
          <w:color w:val="000000"/>
          <w:kern w:val="0"/>
          <w:sz w:val="32"/>
          <w:szCs w:val="32"/>
          <w:highlight w:val="none"/>
          <w:lang w:val="en-US" w:eastAsia="zh-CN" w:bidi="ar"/>
        </w:rPr>
        <w:t>（一）预算管理方面</w:t>
      </w:r>
      <w:bookmarkEnd w:id="27"/>
    </w:p>
    <w:p w14:paraId="4A0322B2">
      <w:pPr>
        <w:pStyle w:val="9"/>
        <w:keepNext w:val="0"/>
        <w:keepLines w:val="0"/>
        <w:pageBreakBefore w:val="0"/>
        <w:widowControl/>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市技工学校的预算执行情况中预算完成率为94.10%，</w:t>
      </w:r>
      <w:r>
        <w:rPr>
          <w:rFonts w:hint="eastAsia" w:ascii="仿宋" w:hAnsi="仿宋" w:eastAsia="仿宋" w:cs="仿宋"/>
          <w:sz w:val="32"/>
          <w:szCs w:val="32"/>
          <w:highlight w:val="none"/>
          <w:lang w:val="en-US" w:eastAsia="zh-CN"/>
        </w:rPr>
        <w:t>预算执行率有待提高</w:t>
      </w:r>
      <w:r>
        <w:rPr>
          <w:rFonts w:hint="eastAsia" w:ascii="仿宋" w:hAnsi="仿宋" w:eastAsia="仿宋" w:cs="仿宋"/>
          <w:sz w:val="32"/>
          <w:szCs w:val="32"/>
          <w:highlight w:val="none"/>
          <w:lang w:val="en-US" w:eastAsia="zh-CN" w:bidi="ar"/>
        </w:rPr>
        <w:t>。</w:t>
      </w:r>
    </w:p>
    <w:p w14:paraId="4CDA23B0">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sz w:val="32"/>
          <w:szCs w:val="32"/>
          <w:highlight w:val="none"/>
        </w:rPr>
      </w:pPr>
      <w:bookmarkStart w:id="28" w:name="_Toc15330"/>
      <w:r>
        <w:rPr>
          <w:rFonts w:hint="eastAsia" w:ascii="仿宋" w:hAnsi="仿宋" w:eastAsia="仿宋" w:cs="仿宋"/>
          <w:b/>
          <w:sz w:val="32"/>
          <w:szCs w:val="32"/>
          <w:highlight w:val="none"/>
        </w:rPr>
        <w:t>相关建议</w:t>
      </w:r>
      <w:bookmarkEnd w:id="28"/>
    </w:p>
    <w:p w14:paraId="7D29747A">
      <w:pPr>
        <w:pStyle w:val="9"/>
        <w:keepNext w:val="0"/>
        <w:keepLines w:val="0"/>
        <w:pageBreakBefore w:val="0"/>
        <w:widowControl/>
        <w:numPr>
          <w:ilvl w:val="0"/>
          <w:numId w:val="3"/>
        </w:numPr>
        <w:kinsoku/>
        <w:wordWrap/>
        <w:overflowPunct/>
        <w:topLinePunct w:val="0"/>
        <w:autoSpaceDE/>
        <w:autoSpaceDN/>
        <w:bidi w:val="0"/>
        <w:adjustRightInd/>
        <w:snapToGrid/>
        <w:spacing w:before="165" w:beforeLines="50" w:beforeAutospacing="0" w:after="165" w:afterLines="50" w:afterAutospacing="0" w:line="360" w:lineRule="auto"/>
        <w:ind w:firstLine="640" w:firstLineChars="200"/>
        <w:textAlignment w:val="auto"/>
        <w:outlineLvl w:val="1"/>
        <w:rPr>
          <w:rFonts w:hint="eastAsia" w:ascii="仿宋" w:hAnsi="仿宋" w:eastAsia="仿宋" w:cs="仿宋"/>
          <w:sz w:val="32"/>
          <w:szCs w:val="32"/>
          <w:highlight w:val="none"/>
          <w:lang w:val="en-US" w:eastAsia="zh-CN" w:bidi="ar"/>
        </w:rPr>
      </w:pPr>
      <w:bookmarkStart w:id="29" w:name="_Toc19032"/>
      <w:r>
        <w:rPr>
          <w:rFonts w:hint="eastAsia" w:ascii="仿宋" w:hAnsi="仿宋" w:eastAsia="仿宋" w:cs="仿宋"/>
          <w:sz w:val="32"/>
          <w:szCs w:val="32"/>
          <w:highlight w:val="none"/>
          <w:lang w:val="en-US" w:eastAsia="zh-CN" w:bidi="ar"/>
        </w:rPr>
        <w:t>预算管理方面</w:t>
      </w:r>
      <w:bookmarkEnd w:id="29"/>
    </w:p>
    <w:p w14:paraId="49C1B491">
      <w:pPr>
        <w:pStyle w:val="9"/>
        <w:keepNext w:val="0"/>
        <w:keepLines w:val="0"/>
        <w:pageBreakBefore w:val="0"/>
        <w:numPr>
          <w:ilvl w:val="0"/>
          <w:numId w:val="0"/>
        </w:numPr>
        <w:kinsoku/>
        <w:wordWrap/>
        <w:overflowPunct/>
        <w:topLinePunct w:val="0"/>
        <w:autoSpaceDN/>
        <w:bidi w:val="0"/>
        <w:adjustRightInd/>
        <w:snapToGrid/>
        <w:spacing w:before="165" w:beforeLines="50" w:beforeAutospacing="0" w:after="165" w:afterLines="50" w:afterAutospacing="0" w:line="360" w:lineRule="auto"/>
        <w:ind w:firstLine="640" w:firstLineChars="200"/>
        <w:textAlignment w:val="auto"/>
        <w:rPr>
          <w:rFonts w:hint="eastAsia" w:ascii="仿宋" w:hAnsi="仿宋" w:eastAsia="仿宋" w:cs="仿宋"/>
          <w:sz w:val="32"/>
          <w:szCs w:val="32"/>
          <w:highlight w:val="none"/>
          <w:lang w:val="en-US" w:eastAsia="zh-CN" w:bidi="ar"/>
        </w:rPr>
      </w:pPr>
      <w:r>
        <w:rPr>
          <w:rFonts w:hint="eastAsia" w:ascii="仿宋" w:hAnsi="仿宋" w:eastAsia="仿宋" w:cs="仿宋"/>
          <w:sz w:val="32"/>
          <w:szCs w:val="32"/>
          <w:highlight w:val="none"/>
          <w:lang w:val="en-US" w:eastAsia="zh-CN" w:bidi="ar"/>
        </w:rPr>
        <w:t>完善预算绩效目标，结合部门绩效目标和全年工作安排，细化拆解各科室可量化的工作，提高预算执行率。完善沟通机制，确保项目团队内部以及与外部利益相关者的信息交流畅通，‌避免因沟通不畅造成的时间和资源浪费。</w:t>
      </w:r>
    </w:p>
    <w:p w14:paraId="1D10E1A0">
      <w:pPr>
        <w:pStyle w:val="2"/>
        <w:keepNext w:val="0"/>
        <w:keepLines w:val="0"/>
        <w:pageBreakBefore w:val="0"/>
        <w:numPr>
          <w:ilvl w:val="0"/>
          <w:numId w:val="2"/>
        </w:numPr>
        <w:kinsoku/>
        <w:wordWrap/>
        <w:overflowPunct/>
        <w:topLinePunct w:val="0"/>
        <w:autoSpaceDE w:val="0"/>
        <w:autoSpaceDN/>
        <w:bidi w:val="0"/>
        <w:adjustRightInd/>
        <w:snapToGrid/>
        <w:spacing w:before="165" w:beforeLines="50" w:beforeAutospacing="0" w:after="165" w:afterLines="50" w:afterAutospacing="0" w:line="360" w:lineRule="auto"/>
        <w:ind w:firstLine="643" w:firstLineChars="200"/>
        <w:jc w:val="left"/>
        <w:textAlignment w:val="auto"/>
        <w:rPr>
          <w:rFonts w:hint="eastAsia" w:ascii="仿宋" w:hAnsi="仿宋" w:eastAsia="仿宋" w:cs="仿宋"/>
          <w:b/>
          <w:bCs/>
          <w:sz w:val="32"/>
          <w:szCs w:val="32"/>
          <w:highlight w:val="none"/>
        </w:rPr>
      </w:pPr>
      <w:bookmarkStart w:id="30" w:name="_Toc15137"/>
      <w:r>
        <w:rPr>
          <w:rFonts w:hint="eastAsia" w:ascii="仿宋" w:hAnsi="仿宋" w:eastAsia="仿宋" w:cs="仿宋"/>
          <w:b/>
          <w:bCs/>
          <w:sz w:val="32"/>
          <w:szCs w:val="32"/>
          <w:highlight w:val="none"/>
          <w:lang w:val="en-US" w:eastAsia="zh-CN"/>
        </w:rPr>
        <w:t>其他需要说明的问题</w:t>
      </w:r>
      <w:bookmarkEnd w:id="30"/>
    </w:p>
    <w:p w14:paraId="47B9D92C">
      <w:pPr>
        <w:pStyle w:val="9"/>
        <w:numPr>
          <w:ilvl w:val="0"/>
          <w:numId w:val="4"/>
        </w:numPr>
        <w:autoSpaceDE w:val="0"/>
        <w:spacing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关于评价结果的说明</w:t>
      </w:r>
    </w:p>
    <w:p w14:paraId="10EF506A">
      <w:pPr>
        <w:pStyle w:val="9"/>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部门评价的结果受限于提供资料的全面性和准确性，评价小组仅能依据提供的现有的资料，结合职业判断给出评价的结果。绩效评价指标体系中部分指标评价采用抽样核查的结果，评价结果与实际可能存在偏差。</w:t>
      </w:r>
    </w:p>
    <w:p w14:paraId="033EBA42">
      <w:pPr>
        <w:pStyle w:val="9"/>
        <w:numPr>
          <w:ilvl w:val="0"/>
          <w:numId w:val="4"/>
        </w:numPr>
        <w:autoSpaceDE/>
        <w:spacing w:before="165" w:beforeLines="50" w:beforeAutospacing="0" w:after="165" w:afterLines="50" w:afterAutospacing="0" w:line="360" w:lineRule="auto"/>
        <w:ind w:firstLine="640" w:firstLineChars="200"/>
        <w:rPr>
          <w:rFonts w:hint="eastAsia" w:ascii="仿宋" w:hAnsi="仿宋" w:eastAsia="仿宋" w:cs="仿宋"/>
          <w:b w:val="0"/>
          <w:bCs w:val="0"/>
          <w:sz w:val="32"/>
          <w:szCs w:val="32"/>
          <w:highlight w:val="none"/>
          <w:lang w:val="en-US" w:eastAsia="zh-CN" w:bidi="ar"/>
        </w:rPr>
      </w:pPr>
      <w:r>
        <w:rPr>
          <w:rFonts w:hint="eastAsia" w:ascii="仿宋" w:hAnsi="仿宋" w:eastAsia="仿宋" w:cs="仿宋"/>
          <w:b w:val="0"/>
          <w:bCs w:val="0"/>
          <w:sz w:val="32"/>
          <w:szCs w:val="32"/>
          <w:highlight w:val="none"/>
          <w:lang w:val="en-US" w:eastAsia="zh-CN" w:bidi="ar"/>
        </w:rPr>
        <w:t>关于报告使用的说明</w:t>
      </w:r>
    </w:p>
    <w:p w14:paraId="5981739A">
      <w:pPr>
        <w:pStyle w:val="9"/>
        <w:autoSpaceDE/>
        <w:spacing w:before="165" w:beforeLines="50" w:beforeAutospacing="0" w:after="165" w:afterLines="50" w:afterAutospacing="0" w:line="360" w:lineRule="auto"/>
        <w:ind w:firstLine="640" w:firstLineChars="200"/>
        <w:rPr>
          <w:rFonts w:hint="eastAsia" w:ascii="仿宋" w:hAnsi="仿宋" w:eastAsia="仿宋" w:cs="仿宋"/>
          <w:b/>
          <w:bCs/>
          <w:sz w:val="32"/>
          <w:szCs w:val="32"/>
          <w:highlight w:val="none"/>
          <w:lang w:bidi="ar"/>
        </w:rPr>
      </w:pPr>
      <w:r>
        <w:rPr>
          <w:rFonts w:hint="eastAsia" w:ascii="仿宋" w:hAnsi="仿宋" w:eastAsia="仿宋" w:cs="仿宋"/>
          <w:b w:val="0"/>
          <w:bCs w:val="0"/>
          <w:sz w:val="32"/>
          <w:szCs w:val="32"/>
          <w:highlight w:val="none"/>
          <w:lang w:val="en-US" w:eastAsia="zh-CN" w:bidi="ar"/>
        </w:rPr>
        <w:t>本报告仅供林芝市财政局了解</w:t>
      </w:r>
      <w:r>
        <w:rPr>
          <w:rFonts w:hint="eastAsia" w:ascii="仿宋" w:hAnsi="仿宋" w:eastAsia="仿宋" w:cs="仿宋"/>
          <w:b w:val="0"/>
          <w:bCs w:val="0"/>
          <w:color w:val="000000"/>
          <w:sz w:val="32"/>
          <w:szCs w:val="32"/>
          <w:highlight w:val="none"/>
          <w:lang w:val="en-US"/>
        </w:rPr>
        <w:t>林芝市</w:t>
      </w:r>
      <w:r>
        <w:rPr>
          <w:rFonts w:hint="eastAsia" w:ascii="仿宋" w:hAnsi="仿宋" w:eastAsia="仿宋" w:cs="仿宋"/>
          <w:b w:val="0"/>
          <w:bCs w:val="0"/>
          <w:color w:val="000000"/>
          <w:sz w:val="32"/>
          <w:szCs w:val="32"/>
          <w:highlight w:val="none"/>
          <w:lang w:val="en-US" w:eastAsia="zh-CN"/>
        </w:rPr>
        <w:t>技工学校（公共职业技能实训基地）</w:t>
      </w:r>
      <w:r>
        <w:rPr>
          <w:rFonts w:hint="eastAsia" w:ascii="仿宋" w:hAnsi="仿宋" w:eastAsia="仿宋" w:cs="仿宋"/>
          <w:b w:val="0"/>
          <w:bCs w:val="0"/>
          <w:sz w:val="32"/>
          <w:szCs w:val="32"/>
          <w:highlight w:val="none"/>
          <w:lang w:val="en-US" w:eastAsia="zh-CN" w:bidi="ar"/>
        </w:rPr>
        <w:t>2023年度部门整体支出的绩效情况，不作其它用途。由于使用不当而造成的后果于本会计师事务所无关。</w:t>
      </w:r>
    </w:p>
    <w:p w14:paraId="011EB8E3">
      <w:pPr>
        <w:pStyle w:val="9"/>
        <w:autoSpaceDE w:val="0"/>
        <w:spacing w:line="360" w:lineRule="auto"/>
        <w:ind w:firstLine="643" w:firstLineChars="200"/>
        <w:outlineLvl w:val="0"/>
        <w:rPr>
          <w:rFonts w:hint="eastAsia" w:ascii="仿宋" w:hAnsi="仿宋" w:eastAsia="仿宋" w:cs="仿宋"/>
          <w:color w:val="000000"/>
          <w:sz w:val="32"/>
          <w:szCs w:val="32"/>
          <w:highlight w:val="none"/>
        </w:rPr>
      </w:pPr>
      <w:bookmarkStart w:id="31" w:name="_Toc10746"/>
      <w:r>
        <w:rPr>
          <w:rFonts w:hint="eastAsia" w:ascii="仿宋" w:hAnsi="仿宋" w:eastAsia="仿宋" w:cs="仿宋"/>
          <w:b/>
          <w:bCs/>
          <w:sz w:val="32"/>
          <w:szCs w:val="32"/>
          <w:highlight w:val="none"/>
          <w:lang w:bidi="ar"/>
        </w:rPr>
        <w:t>附件：</w:t>
      </w:r>
      <w:r>
        <w:rPr>
          <w:rFonts w:hint="eastAsia" w:ascii="仿宋" w:hAnsi="仿宋" w:eastAsia="仿宋" w:cs="仿宋"/>
          <w:b/>
          <w:bCs/>
          <w:kern w:val="2"/>
          <w:sz w:val="32"/>
          <w:szCs w:val="32"/>
          <w:highlight w:val="none"/>
          <w:lang w:bidi="ar"/>
        </w:rPr>
        <w:t>绩效评价指标体系框架打分表</w:t>
      </w:r>
      <w:bookmarkEnd w:id="31"/>
    </w:p>
    <w:p w14:paraId="03941057">
      <w:pPr>
        <w:tabs>
          <w:tab w:val="left" w:pos="5580"/>
          <w:tab w:val="left" w:pos="5760"/>
          <w:tab w:val="left" w:pos="5940"/>
        </w:tabs>
        <w:spacing w:line="360" w:lineRule="auto"/>
        <w:rPr>
          <w:rFonts w:hint="eastAsia" w:ascii="仿宋" w:hAnsi="仿宋" w:eastAsia="仿宋" w:cs="仿宋"/>
          <w:color w:val="000000"/>
          <w:sz w:val="32"/>
          <w:szCs w:val="32"/>
          <w:highlight w:val="none"/>
        </w:rPr>
      </w:pPr>
    </w:p>
    <w:p w14:paraId="633CE165">
      <w:pPr>
        <w:tabs>
          <w:tab w:val="left" w:pos="5580"/>
          <w:tab w:val="left" w:pos="5760"/>
          <w:tab w:val="left" w:pos="5940"/>
        </w:tabs>
        <w:spacing w:line="360" w:lineRule="auto"/>
        <w:rPr>
          <w:rFonts w:hint="eastAsia" w:ascii="仿宋" w:hAnsi="仿宋" w:eastAsia="仿宋" w:cs="仿宋"/>
          <w:color w:val="000000"/>
          <w:sz w:val="32"/>
          <w:szCs w:val="32"/>
          <w:highlight w:val="none"/>
        </w:rPr>
      </w:pPr>
    </w:p>
    <w:p w14:paraId="5960FACD">
      <w:pPr>
        <w:tabs>
          <w:tab w:val="left" w:pos="5580"/>
          <w:tab w:val="left" w:pos="5760"/>
          <w:tab w:val="left" w:pos="5940"/>
        </w:tabs>
        <w:spacing w:line="360" w:lineRule="auto"/>
        <w:ind w:firstLine="2240" w:firstLineChars="7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陕西丰汇韵嘉会计师事务所合伙企业（普通合伙）                           </w:t>
      </w:r>
    </w:p>
    <w:p w14:paraId="7FAD7336">
      <w:pPr>
        <w:pStyle w:val="5"/>
        <w:tabs>
          <w:tab w:val="left" w:pos="3460"/>
          <w:tab w:val="center" w:pos="4590"/>
        </w:tabs>
        <w:spacing w:line="360" w:lineRule="auto"/>
        <w:rPr>
          <w:rFonts w:hint="eastAsia" w:ascii="仿宋" w:hAnsi="仿宋" w:eastAsia="仿宋" w:cs="仿宋"/>
          <w:color w:val="000000"/>
          <w:sz w:val="32"/>
          <w:szCs w:val="32"/>
          <w:highlight w:val="none"/>
        </w:rPr>
      </w:pPr>
    </w:p>
    <w:p w14:paraId="38D6DAB4">
      <w:pPr>
        <w:spacing w:line="360" w:lineRule="auto"/>
        <w:ind w:right="480" w:firstLine="800" w:firstLineChars="250"/>
        <w:jc w:val="center"/>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二○二四年</w:t>
      </w:r>
      <w:r>
        <w:rPr>
          <w:rFonts w:hint="eastAsia" w:ascii="仿宋" w:hAnsi="仿宋" w:eastAsia="仿宋" w:cs="仿宋"/>
          <w:color w:val="000000"/>
          <w:sz w:val="32"/>
          <w:szCs w:val="32"/>
          <w:highlight w:val="none"/>
          <w:lang w:val="en-US" w:eastAsia="zh-CN"/>
        </w:rPr>
        <w:t>七月二十六</w:t>
      </w:r>
      <w:r>
        <w:rPr>
          <w:rFonts w:hint="eastAsia" w:ascii="仿宋" w:hAnsi="仿宋" w:eastAsia="仿宋" w:cs="仿宋"/>
          <w:color w:val="000000"/>
          <w:sz w:val="32"/>
          <w:szCs w:val="32"/>
          <w:highlight w:val="none"/>
        </w:rPr>
        <w:t>日</w:t>
      </w:r>
    </w:p>
    <w:p w14:paraId="6795E561"/>
    <w:sectPr>
      <w:footerReference r:id="rId5" w:type="default"/>
      <w:pgSz w:w="11906" w:h="16838"/>
      <w:pgMar w:top="1496" w:right="1416" w:bottom="1105" w:left="1638" w:header="170" w:footer="454" w:gutter="0"/>
      <w:pgBorders>
        <w:top w:val="none" w:sz="0" w:space="0"/>
        <w:left w:val="none" w:sz="0" w:space="0"/>
        <w:bottom w:val="none" w:sz="0" w:space="0"/>
        <w:right w:val="none" w:sz="0" w:space="0"/>
      </w:pgBorders>
      <w:pgNumType w:fmt="decimal" w:start="1"/>
      <w:cols w:space="720"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56166">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7A6B">
    <w:pPr>
      <w:pStyle w:val="5"/>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-238760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E0802">
                          <w:pPr>
                            <w:jc w:val="left"/>
                            <w:rPr>
                              <w:rFonts w:hint="eastAsia" w:ascii="等线" w:hAnsi="等线" w:eastAsia="等线"/>
                              <w:b/>
                              <w:sz w:val="24"/>
                            </w:rPr>
                          </w:pPr>
                        </w:p>
                        <w:p w14:paraId="686BD46D">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374D3061">
                          <w:pPr>
                            <w:pStyle w:val="5"/>
                            <w:jc w:val="center"/>
                            <w:rPr>
                              <w:rFonts w:hint="eastAsia"/>
                            </w:rPr>
                          </w:pPr>
                          <w:r>
                            <w:rPr>
                              <w:rFonts w:hint="eastAsia"/>
                            </w:rPr>
                            <w:t xml:space="preserve">    </w:t>
                          </w:r>
                        </w:p>
                        <w:p w14:paraId="76237675">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8pt;height:144pt;width:144pt;mso-position-horizontal:center;mso-position-horizontal-relative:margin;mso-wrap-style:none;z-index:251661312;mso-width-relative:page;mso-height-relative:page;" filled="f" stroked="f" coordsize="21600,21600" o:gfxdata="UEsDBAoAAAAAAIdO4kAAAAAAAAAAAAAAAAAEAAAAZHJzL1BLAwQUAAAACACHTuJA6sA6Yt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vN/Q4Ey+ss48uJhzu1&#10;BVkW8n+B8gd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AOmL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108E0802">
                    <w:pPr>
                      <w:jc w:val="left"/>
                      <w:rPr>
                        <w:rFonts w:hint="eastAsia" w:ascii="等线" w:hAnsi="等线" w:eastAsia="等线"/>
                        <w:b/>
                        <w:sz w:val="24"/>
                      </w:rPr>
                    </w:pPr>
                  </w:p>
                  <w:p w14:paraId="686BD46D">
                    <w:pPr>
                      <w:jc w:val="left"/>
                      <w:rPr>
                        <w:rFonts w:ascii="等线" w:hAnsi="等线" w:eastAsia="等线"/>
                        <w:sz w:val="24"/>
                      </w:rPr>
                    </w:pPr>
                    <w:r>
                      <w:rPr>
                        <w:rFonts w:hint="eastAsia" w:ascii="等线" w:hAnsi="等线" w:eastAsia="等线"/>
                        <w:sz w:val="24"/>
                      </w:rPr>
                      <w:t xml:space="preserve">地址：陕西省西安市碑林区长安北路永宁国际13楼1308室      </w:t>
                    </w:r>
                    <w:r>
                      <w:rPr>
                        <w:rFonts w:ascii="等线" w:hAnsi="等线" w:eastAsia="等线"/>
                        <w:sz w:val="24"/>
                      </w:rPr>
                      <w:t>电话029-68976696</w:t>
                    </w:r>
                  </w:p>
                  <w:p w14:paraId="374D3061">
                    <w:pPr>
                      <w:pStyle w:val="5"/>
                      <w:jc w:val="center"/>
                      <w:rPr>
                        <w:rFonts w:hint="eastAsia"/>
                      </w:rPr>
                    </w:pPr>
                    <w:r>
                      <w:rPr>
                        <w:rFonts w:hint="eastAsia"/>
                      </w:rPr>
                      <w:t xml:space="preserve">    </w:t>
                    </w:r>
                  </w:p>
                  <w:p w14:paraId="76237675">
                    <w:pPr>
                      <w:pStyle w:val="5"/>
                      <w:jc w:val="center"/>
                      <w:rPr>
                        <w:rFonts w:hint="eastAsia"/>
                      </w:rPr>
                    </w:pPr>
                    <w:r>
                      <w:rPr>
                        <w:rFonts w:hint="eastAsia"/>
                      </w:rPr>
                      <w:t xml:space="preserve">   </w:t>
                    </w:r>
                    <w:r>
                      <w:fldChar w:fldCharType="begin"/>
                    </w:r>
                    <w:r>
                      <w:instrText xml:space="preserve">PAGE   \* MERGEFORMAT</w:instrText>
                    </w:r>
                    <w:r>
                      <w:fldChar w:fldCharType="separate"/>
                    </w:r>
                    <w:r>
                      <w:rPr>
                        <w:lang w:val="zh-CN"/>
                      </w:rPr>
                      <w:t>4</w:t>
                    </w:r>
                    <w:r>
                      <w:fldChar w:fldCharType="end"/>
                    </w:r>
                    <w:r>
                      <w:rPr>
                        <w:rFonts w:hint="eastAsi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27CF">
    <w:pPr>
      <w:spacing w:line="240" w:lineRule="atLeast"/>
      <w:ind w:right="210"/>
      <w:jc w:val="right"/>
      <w:rPr>
        <w:rFonts w:hint="eastAsia" w:ascii="微软雅黑" w:hAnsi="微软雅黑" w:eastAsia="微软雅黑"/>
        <w:i/>
        <w:szCs w:val="21"/>
      </w:rPr>
    </w:pPr>
  </w:p>
  <w:p w14:paraId="594F3EEC">
    <w:pPr>
      <w:spacing w:line="240" w:lineRule="atLeast"/>
      <w:ind w:right="210"/>
      <w:jc w:val="right"/>
      <w:rPr>
        <w:rFonts w:hint="eastAsia" w:ascii="微软雅黑" w:hAnsi="微软雅黑" w:eastAsia="微软雅黑"/>
        <w:i/>
        <w:szCs w:val="21"/>
      </w:rPr>
    </w:pPr>
    <w:r>
      <w:rPr>
        <w:rFonts w:hint="eastAsia" w:ascii="微软雅黑" w:hAnsi="微软雅黑" w:eastAsia="微软雅黑"/>
        <w:i/>
        <w:szCs w:val="21"/>
      </w:rPr>
      <w:t xml:space="preserve">                                 </w:t>
    </w:r>
    <w:r>
      <w:rPr>
        <w:rFonts w:ascii="微软雅黑" w:hAnsi="微软雅黑" w:eastAsia="微软雅黑"/>
        <w:i/>
        <w:szCs w:val="21"/>
      </w:rPr>
      <w:t>陕西丰汇韵嘉会计师事务所合伙企业（普通合伙）</w:t>
    </w:r>
  </w:p>
  <w:p w14:paraId="3DA9706B">
    <w:pPr>
      <w:spacing w:line="240" w:lineRule="atLeast"/>
      <w:ind w:right="210"/>
      <w:jc w:val="right"/>
    </w:pPr>
    <w:r>
      <w:drawing>
        <wp:anchor distT="0" distB="0" distL="114300" distR="114300" simplePos="0" relativeHeight="251659264" behindDoc="1" locked="0" layoutInCell="1" allowOverlap="1">
          <wp:simplePos x="0" y="0"/>
          <wp:positionH relativeFrom="column">
            <wp:posOffset>228600</wp:posOffset>
          </wp:positionH>
          <wp:positionV relativeFrom="paragraph">
            <wp:posOffset>-429260</wp:posOffset>
          </wp:positionV>
          <wp:extent cx="575945" cy="575945"/>
          <wp:effectExtent l="0" t="0" r="14605" b="146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75945" cy="575945"/>
                  </a:xfrm>
                  <a:prstGeom prst="rect">
                    <a:avLst/>
                  </a:prstGeom>
                  <a:noFill/>
                  <a:ln>
                    <a:noFill/>
                  </a:ln>
                </pic:spPr>
              </pic:pic>
            </a:graphicData>
          </a:graphic>
        </wp:anchor>
      </w:drawing>
    </w:r>
    <w:r>
      <w:rPr>
        <w:rFonts w:ascii="微软雅黑" w:hAnsi="微软雅黑" w:eastAsia="微软雅黑"/>
        <w:i/>
        <w:szCs w:val="21"/>
      </w:rPr>
      <w:t>S</w:t>
    </w:r>
    <w:r>
      <w:rPr>
        <w:rFonts w:hint="eastAsia" w:ascii="微软雅黑" w:hAnsi="微软雅黑" w:eastAsia="微软雅黑"/>
        <w:i/>
        <w:szCs w:val="21"/>
      </w:rPr>
      <w:t>HAANXI</w:t>
    </w:r>
    <w:r>
      <w:rPr>
        <w:rFonts w:ascii="微软雅黑" w:hAnsi="微软雅黑" w:eastAsia="微软雅黑"/>
        <w:i/>
        <w:szCs w:val="21"/>
      </w:rPr>
      <w:t xml:space="preserve"> F</w:t>
    </w:r>
    <w:r>
      <w:rPr>
        <w:rFonts w:hint="eastAsia" w:ascii="微软雅黑" w:hAnsi="微软雅黑" w:eastAsia="微软雅黑"/>
        <w:i/>
        <w:szCs w:val="21"/>
      </w:rPr>
      <w:t>ENG HUI</w:t>
    </w:r>
    <w:r>
      <w:rPr>
        <w:rFonts w:ascii="微软雅黑" w:hAnsi="微软雅黑" w:eastAsia="微软雅黑"/>
        <w:i/>
        <w:szCs w:val="21"/>
      </w:rPr>
      <w:t xml:space="preserve"> </w:t>
    </w:r>
    <w:r>
      <w:rPr>
        <w:rFonts w:hint="eastAsia" w:ascii="微软雅黑" w:hAnsi="微软雅黑" w:eastAsia="微软雅黑"/>
        <w:i/>
        <w:szCs w:val="21"/>
      </w:rPr>
      <w:t>YUNJIA</w:t>
    </w:r>
    <w:r>
      <w:rPr>
        <w:rFonts w:ascii="微软雅黑" w:hAnsi="微软雅黑" w:eastAsia="微软雅黑"/>
        <w:i/>
        <w:szCs w:val="21"/>
      </w:rPr>
      <w:t xml:space="preserve"> </w:t>
    </w:r>
    <w:r>
      <w:rPr>
        <w:rFonts w:hint="eastAsia" w:ascii="微软雅黑" w:hAnsi="微软雅黑" w:eastAsia="微软雅黑"/>
        <w:i/>
        <w:szCs w:val="21"/>
      </w:rPr>
      <w:t>C.P.A</w:t>
    </w:r>
    <w:r>
      <w:rPr>
        <w:rFonts w:ascii="微软雅黑" w:hAnsi="微软雅黑" w:eastAsia="微软雅黑"/>
        <w:i/>
        <w:szCs w:val="21"/>
      </w:rPr>
      <w:t xml:space="preserve"> P</w:t>
    </w:r>
    <w:r>
      <w:rPr>
        <w:rFonts w:hint="eastAsia" w:ascii="微软雅黑" w:hAnsi="微软雅黑" w:eastAsia="微软雅黑"/>
        <w:i/>
        <w:szCs w:val="21"/>
      </w:rPr>
      <w:t>ARTNERSHIP</w:t>
    </w:r>
  </w:p>
  <w:p w14:paraId="5C9221EC">
    <w:pPr>
      <w:pStyle w:val="6"/>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24765</wp:posOffset>
              </wp:positionV>
              <wp:extent cx="5931535" cy="0"/>
              <wp:effectExtent l="0" t="4445" r="0" b="5080"/>
              <wp:wrapNone/>
              <wp:docPr id="1" name="直接箭头连接符 1"/>
              <wp:cNvGraphicFramePr/>
              <a:graphic xmlns:a="http://schemas.openxmlformats.org/drawingml/2006/main">
                <a:graphicData uri="http://schemas.microsoft.com/office/word/2010/wordprocessingShape">
                  <wps:wsp>
                    <wps:cNvCnPr/>
                    <wps:spPr>
                      <a:xfrm>
                        <a:off x="0" y="0"/>
                        <a:ext cx="593153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5pt;margin-top:1.95pt;height:0pt;width:467.05pt;z-index:251660288;mso-width-relative:page;mso-height-relative:page;" filled="f" stroked="t" coordsize="21600,21600" o:gfxdata="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9hSIjVAAAABgEAAA8AAAAAAAAAAQAgAAAAIgAAAGRycy9kb3ducmV2Lnht&#10;bFBLAQIUABQAAAAIAIdO4kD3v1ew/AEAAOwDAAAOAAAAAAAAAAEAIAAAACQBAABkcnMvZTJvRG9j&#10;LnhtbFBLBQYAAAAABgAGAFkBAACSBQ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56F74"/>
    <w:multiLevelType w:val="singleLevel"/>
    <w:tmpl w:val="97A56F74"/>
    <w:lvl w:ilvl="0" w:tentative="0">
      <w:start w:val="1"/>
      <w:numFmt w:val="chineseCounting"/>
      <w:suff w:val="nothing"/>
      <w:lvlText w:val="（%1）"/>
      <w:lvlJc w:val="left"/>
      <w:rPr>
        <w:rFonts w:hint="eastAsia"/>
      </w:rPr>
    </w:lvl>
  </w:abstractNum>
  <w:abstractNum w:abstractNumId="1">
    <w:nsid w:val="D4BBF96E"/>
    <w:multiLevelType w:val="multilevel"/>
    <w:tmpl w:val="D4BBF96E"/>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BAD4CB"/>
    <w:multiLevelType w:val="singleLevel"/>
    <w:tmpl w:val="2ABAD4CB"/>
    <w:lvl w:ilvl="0" w:tentative="0">
      <w:start w:val="1"/>
      <w:numFmt w:val="chineseCounting"/>
      <w:suff w:val="nothing"/>
      <w:lvlText w:val="（%1）"/>
      <w:lvlJc w:val="left"/>
      <w:rPr>
        <w:rFonts w:hint="eastAsia"/>
      </w:rPr>
    </w:lvl>
  </w:abstractNum>
  <w:abstractNum w:abstractNumId="3">
    <w:nsid w:val="60FDA3F8"/>
    <w:multiLevelType w:val="singleLevel"/>
    <w:tmpl w:val="60FDA3F8"/>
    <w:lvl w:ilvl="0" w:tentative="0">
      <w:start w:val="5"/>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mMDYxNzNhYjEwNmQ1OWRhYTJmNzRjZjJiMjA1YTQifQ=="/>
  </w:docVars>
  <w:rsids>
    <w:rsidRoot w:val="6A744225"/>
    <w:rsid w:val="04D119C2"/>
    <w:rsid w:val="05874970"/>
    <w:rsid w:val="06907F93"/>
    <w:rsid w:val="06EC608C"/>
    <w:rsid w:val="0F5D3B7D"/>
    <w:rsid w:val="14C03DFD"/>
    <w:rsid w:val="15766F09"/>
    <w:rsid w:val="15B67521"/>
    <w:rsid w:val="1A0D715C"/>
    <w:rsid w:val="1A98650B"/>
    <w:rsid w:val="1CA203E2"/>
    <w:rsid w:val="1F894DF3"/>
    <w:rsid w:val="229B20FB"/>
    <w:rsid w:val="230D2DB7"/>
    <w:rsid w:val="2386634A"/>
    <w:rsid w:val="266F6BFE"/>
    <w:rsid w:val="267E6EBC"/>
    <w:rsid w:val="273E75C9"/>
    <w:rsid w:val="2829181B"/>
    <w:rsid w:val="28343954"/>
    <w:rsid w:val="2CB92127"/>
    <w:rsid w:val="2F617B1A"/>
    <w:rsid w:val="315D2224"/>
    <w:rsid w:val="32101BD0"/>
    <w:rsid w:val="349726E6"/>
    <w:rsid w:val="35CC32D0"/>
    <w:rsid w:val="368E5986"/>
    <w:rsid w:val="39820ABE"/>
    <w:rsid w:val="3D394B87"/>
    <w:rsid w:val="4115326E"/>
    <w:rsid w:val="466A0A44"/>
    <w:rsid w:val="46AF1972"/>
    <w:rsid w:val="49D1756E"/>
    <w:rsid w:val="49D23EBB"/>
    <w:rsid w:val="4D32161E"/>
    <w:rsid w:val="5012721B"/>
    <w:rsid w:val="532E4EDA"/>
    <w:rsid w:val="60442887"/>
    <w:rsid w:val="67413AA2"/>
    <w:rsid w:val="6A744225"/>
    <w:rsid w:val="6B5335FF"/>
    <w:rsid w:val="6B825C0D"/>
    <w:rsid w:val="6C943789"/>
    <w:rsid w:val="6D073EF4"/>
    <w:rsid w:val="71185AFB"/>
    <w:rsid w:val="783F302F"/>
    <w:rsid w:val="7DA1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60"/>
      </w:tabs>
      <w:spacing w:line="240" w:lineRule="atLeast"/>
      <w:ind w:firstLine="556"/>
      <w:outlineLvl w:val="0"/>
    </w:pPr>
    <w:rPr>
      <w:sz w:val="28"/>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仿宋_GB2312" w:cs="Times New Roman"/>
      <w:color w:val="000000"/>
      <w:kern w:val="2"/>
      <w:sz w:val="24"/>
      <w:szCs w:val="24"/>
      <w:lang w:val="en-US" w:eastAsia="zh-CN" w:bidi="ar"/>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customStyle="1" w:styleId="13">
    <w:name w:val="WPSOffice手动目录 2"/>
    <w:qFormat/>
    <w:uiPriority w:val="0"/>
    <w:pPr>
      <w:ind w:leftChars="200"/>
    </w:pPr>
    <w:rPr>
      <w:rFonts w:ascii="Times New Roman" w:hAnsi="Times New Roman" w:eastAsia="宋体" w:cs="Times New Roman"/>
      <w:sz w:val="20"/>
      <w:szCs w:val="20"/>
    </w:rPr>
  </w:style>
  <w:style w:type="character" w:customStyle="1" w:styleId="14">
    <w:name w:val="15"/>
    <w:basedOn w:val="11"/>
    <w:qFormat/>
    <w:uiPriority w:val="0"/>
    <w:rPr>
      <w:rFonts w:hint="eastAsia" w:ascii="宋体" w:hAnsi="宋体" w:eastAsia="宋体" w:cs="宋体"/>
      <w:color w:val="000000"/>
      <w:sz w:val="20"/>
      <w:szCs w:val="20"/>
    </w:rPr>
  </w:style>
  <w:style w:type="character" w:customStyle="1" w:styleId="15">
    <w:name w:val="16"/>
    <w:basedOn w:val="11"/>
    <w:qFormat/>
    <w:uiPriority w:val="0"/>
    <w:rPr>
      <w:rFonts w:hint="eastAsia" w:ascii="宋体" w:hAnsi="宋体" w:eastAsia="宋体" w:cs="宋体"/>
      <w:color w:val="000000"/>
      <w:sz w:val="20"/>
      <w:szCs w:val="20"/>
    </w:rPr>
  </w:style>
  <w:style w:type="character" w:customStyle="1" w:styleId="16">
    <w:name w:val="font2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8566</Words>
  <Characters>9206</Characters>
  <Lines>0</Lines>
  <Paragraphs>0</Paragraphs>
  <TotalTime>7</TotalTime>
  <ScaleCrop>false</ScaleCrop>
  <LinksUpToDate>false</LinksUpToDate>
  <CharactersWithSpaces>9357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2024-06-26T03:54:00Z</dcterms:created>
  <dc:creator>niu</dc:creator>
  <cp:lastModifiedBy>牛乐</cp:lastModifiedBy>
  <dcterms:modified xsi:type="dcterms:W3CDTF">2024-09-09T10:10:12Z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CD1868D94ED549D9B3A4F34164C58CFD_11</vt:lpwstr>
  </property>
</Properties>
</file>