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942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14:paraId="0388FE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14:paraId="5C3418EF">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14:paraId="1204E292">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114</w:t>
      </w:r>
      <w:r>
        <w:rPr>
          <w:rFonts w:hint="eastAsia" w:ascii="仿宋" w:hAnsi="仿宋" w:eastAsia="仿宋" w:cs="仿宋"/>
          <w:b/>
          <w:sz w:val="32"/>
          <w:szCs w:val="32"/>
          <w:highlight w:val="none"/>
        </w:rPr>
        <w:t>号</w:t>
      </w:r>
    </w:p>
    <w:p w14:paraId="72FA9018">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45222C39">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57146DEA">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林芝市人力资源和社会保障局</w:t>
      </w:r>
    </w:p>
    <w:p w14:paraId="2E03C8B5">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9"/>
        <w:rPr>
          <w:rFonts w:hint="eastAsia" w:ascii="仿宋" w:hAnsi="仿宋" w:eastAsia="仿宋" w:cs="仿宋"/>
          <w:b/>
          <w:bCs/>
          <w:sz w:val="36"/>
          <w:szCs w:val="36"/>
          <w:highlight w:val="none"/>
          <w:lang w:bidi="ar"/>
        </w:rPr>
      </w:pPr>
      <w:r>
        <w:rPr>
          <w:rFonts w:hint="eastAsia" w:ascii="仿宋" w:hAnsi="仿宋" w:eastAsia="仿宋" w:cs="仿宋"/>
          <w:b/>
          <w:bCs/>
          <w:sz w:val="36"/>
          <w:szCs w:val="36"/>
          <w:highlight w:val="none"/>
          <w:lang w:bidi="ar"/>
        </w:rPr>
        <w:t>2023年度部门整体支出绩效评价报告</w:t>
      </w:r>
    </w:p>
    <w:p w14:paraId="6972998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14:paraId="25BEC26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14:paraId="135E284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p>
    <w:p w14:paraId="0483E95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4FD0BD15">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14:paraId="1EF3EA87">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FA25C3B">
      <w:pPr>
        <w:keepNext w:val="0"/>
        <w:keepLines w:val="0"/>
        <w:pageBreakBefore w:val="0"/>
        <w:widowControl w:val="0"/>
        <w:kinsoku/>
        <w:wordWrap/>
        <w:overflowPunct/>
        <w:topLinePunct w:val="0"/>
        <w:autoSpaceDE/>
        <w:autoSpaceDN/>
        <w:bidi w:val="0"/>
        <w:adjustRightInd/>
        <w:snapToGrid/>
        <w:ind w:firstLine="960" w:firstLineChars="4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14:paraId="7A5D2B1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31AD8D5C">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3CB53A9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0904E132">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3297DEE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评价机构：陕西丰汇韵嘉会计师事务所合伙企业（普通合伙）</w:t>
      </w:r>
    </w:p>
    <w:p w14:paraId="45C1381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2A3985A5">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eastAsia="仿宋_GB2312" w:cs="仿宋_GB2312"/>
          <w:sz w:val="32"/>
          <w:szCs w:val="32"/>
          <w:highlight w:val="none"/>
        </w:rPr>
      </w:pPr>
      <w:r>
        <w:rPr>
          <w:rFonts w:ascii="仿宋_GB2312" w:hAnsi="Calibri" w:eastAsia="仿宋_GB2312" w:cs="仿宋_GB2312"/>
          <w:sz w:val="32"/>
          <w:szCs w:val="32"/>
          <w:highlight w:val="none"/>
          <w:lang w:bidi="ar"/>
        </w:rPr>
        <w:t xml:space="preserve"> </w:t>
      </w:r>
    </w:p>
    <w:p w14:paraId="766D6E2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14:paraId="1CA26B2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14:paraId="77C7932A">
      <w:pPr>
        <w:rPr>
          <w:rFonts w:ascii="Calibri" w:hAnsi="Calibri"/>
          <w:szCs w:val="21"/>
          <w:highlight w:val="none"/>
        </w:rPr>
      </w:pPr>
      <w:r>
        <w:rPr>
          <w:rFonts w:ascii="Calibri" w:hAnsi="Calibri"/>
          <w:szCs w:val="21"/>
          <w:highlight w:val="none"/>
          <w:lang w:bidi="ar"/>
        </w:rPr>
        <w:t xml:space="preserve"> </w:t>
      </w:r>
    </w:p>
    <w:p w14:paraId="6CFEF9FB">
      <w:pPr>
        <w:rPr>
          <w:rFonts w:ascii="Calibri" w:hAnsi="Calibri"/>
          <w:szCs w:val="21"/>
          <w:highlight w:val="none"/>
        </w:rPr>
      </w:pPr>
      <w:r>
        <w:rPr>
          <w:rFonts w:ascii="Calibri" w:hAnsi="Calibri"/>
          <w:szCs w:val="21"/>
          <w:highlight w:val="none"/>
          <w:lang w:bidi="ar"/>
        </w:rPr>
        <w:t xml:space="preserve"> </w:t>
      </w:r>
    </w:p>
    <w:p w14:paraId="407EFC06">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56C98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45D4B62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14:paraId="71EC6CA5">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_Toc23244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一、 </w:t>
      </w:r>
      <w:r>
        <w:rPr>
          <w:rFonts w:hint="eastAsia" w:ascii="仿宋" w:hAnsi="仿宋" w:eastAsia="仿宋" w:cs="仿宋"/>
          <w:bCs/>
          <w:sz w:val="24"/>
          <w:szCs w:val="24"/>
          <w:highlight w:val="none"/>
          <w:lang w:bidi="ar"/>
        </w:rPr>
        <w:t>部门基本情况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_Toc23244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3D808DD">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_Toc30493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（一）部门主要职能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5B23F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_Toc20274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（二）机构设置情况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_Toc20274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F3FDD3E">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_Toc31240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（三）人员编制情况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_Toc31240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E42E20E">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_Toc29109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（四）年度总体工作和重点工作任务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_Toc29109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0CD0EE3">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_Toc11728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（五）部门预算批复及整体支出安排情况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_Toc11728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730F710">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_Toc11527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04CD53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_Toc32250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8A6767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_Toc9167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val="en"/>
        </w:rPr>
        <w:t>（</w:t>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val="en-US" w:eastAsia="zh-CN"/>
        </w:rPr>
        <w:t>评价依据、</w:t>
      </w:r>
      <w:r>
        <w:rPr>
          <w:rFonts w:hint="eastAsia" w:ascii="仿宋" w:hAnsi="仿宋" w:eastAsia="仿宋" w:cs="仿宋"/>
          <w:bCs/>
          <w:sz w:val="24"/>
          <w:szCs w:val="24"/>
          <w:highlight w:val="none"/>
          <w:lang w:val="en"/>
        </w:rPr>
        <w:t>绩效评价原则、评价方法、评价标准、评价指标体系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_Toc9167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304A5C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_Toc6904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_Toc6904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97346D">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_Toc9072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_Toc9072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79B2E66">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_Toc2140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FC0EC4">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_Toc17936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（一）项目投入情况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_Toc17936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D7FC00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_Toc20799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_Toc20799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1FC017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_Toc1470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_Toc1470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F6FA2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_Toc15693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（四）部门效益情况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_Toc15693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4938DA">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_Toc20971 </w:instrText>
      </w:r>
      <w:r>
        <w:rPr>
          <w:rFonts w:hint="eastAsia" w:ascii="仿宋" w:hAnsi="仿宋" w:eastAsia="仿宋" w:cs="仿宋"/>
          <w:sz w:val="24"/>
          <w:szCs w:val="24"/>
        </w:rPr>
        <w:fldChar w:fldCharType="separate"/>
      </w:r>
      <w:r>
        <w:rPr>
          <w:rFonts w:hint="eastAsia" w:ascii="仿宋" w:hAnsi="仿宋" w:eastAsia="仿宋" w:cs="仿宋"/>
          <w:kern w:val="0"/>
          <w:sz w:val="24"/>
          <w:szCs w:val="24"/>
          <w:lang w:val="en-US" w:eastAsia="zh-CN" w:bidi="ar"/>
        </w:rPr>
        <w:t xml:space="preserve">五、 </w:t>
      </w:r>
      <w:r>
        <w:rPr>
          <w:rFonts w:hint="eastAsia" w:ascii="仿宋" w:hAnsi="仿宋" w:eastAsia="仿宋" w:cs="仿宋"/>
          <w:sz w:val="24"/>
          <w:szCs w:val="24"/>
          <w:highlight w:val="none"/>
        </w:rPr>
        <w:t>主要问题分析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_Toc20971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22515C">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_Toc29405 </w:instrText>
      </w:r>
      <w:r>
        <w:rPr>
          <w:rFonts w:hint="eastAsia" w:ascii="仿宋" w:hAnsi="仿宋" w:eastAsia="仿宋" w:cs="仿宋"/>
          <w:sz w:val="24"/>
          <w:szCs w:val="24"/>
        </w:rPr>
        <w:fldChar w:fldCharType="separate"/>
      </w:r>
      <w:r>
        <w:rPr>
          <w:rFonts w:hint="eastAsia" w:ascii="仿宋" w:hAnsi="仿宋" w:eastAsia="仿宋" w:cs="仿宋"/>
          <w:kern w:val="0"/>
          <w:sz w:val="24"/>
          <w:szCs w:val="24"/>
          <w:highlight w:val="none"/>
          <w:lang w:val="en-US" w:eastAsia="zh-CN" w:bidi="ar"/>
        </w:rPr>
        <w:t>（一）人员编制方面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_Toc29405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5754A6D">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_Toc405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六、 </w:t>
      </w:r>
      <w:r>
        <w:rPr>
          <w:rFonts w:hint="eastAsia" w:ascii="仿宋" w:hAnsi="仿宋" w:eastAsia="仿宋" w:cs="仿宋"/>
          <w:sz w:val="24"/>
          <w:szCs w:val="24"/>
          <w:highlight w:val="none"/>
        </w:rPr>
        <w:t>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3C8E7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_Toc5870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
        </w:rPr>
        <w:t xml:space="preserve">（一） </w:t>
      </w:r>
      <w:r>
        <w:rPr>
          <w:rFonts w:hint="eastAsia" w:ascii="仿宋" w:hAnsi="仿宋" w:eastAsia="仿宋" w:cs="仿宋"/>
          <w:sz w:val="24"/>
          <w:szCs w:val="24"/>
          <w:highlight w:val="none"/>
          <w:lang w:val="en-US" w:eastAsia="zh-CN" w:bidi="ar"/>
        </w:rPr>
        <w:t>人员编制方面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_Toc5870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DF82C7">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_Toc4049 </w:instrText>
      </w:r>
      <w:r>
        <w:rPr>
          <w:rFonts w:hint="eastAsia" w:ascii="仿宋" w:hAnsi="仿宋" w:eastAsia="仿宋" w:cs="仿宋"/>
          <w:sz w:val="24"/>
          <w:szCs w:val="24"/>
        </w:rPr>
        <w:fldChar w:fldCharType="separate"/>
      </w:r>
      <w:r>
        <w:rPr>
          <w:rFonts w:hint="eastAsia" w:ascii="仿宋" w:hAnsi="仿宋" w:eastAsia="仿宋" w:cs="仿宋"/>
          <w:bCs/>
          <w:sz w:val="24"/>
          <w:szCs w:val="24"/>
        </w:rPr>
        <w:t xml:space="preserve">七、 </w:t>
      </w:r>
      <w:r>
        <w:rPr>
          <w:rFonts w:hint="eastAsia" w:ascii="仿宋" w:hAnsi="仿宋" w:eastAsia="仿宋" w:cs="仿宋"/>
          <w:bCs/>
          <w:sz w:val="24"/>
          <w:szCs w:val="24"/>
          <w:highlight w:val="none"/>
          <w:lang w:val="en-US" w:eastAsia="zh-CN"/>
        </w:rPr>
        <w:t>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_Toc4049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8F2C231">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_Toc16911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lang w:bidi="ar"/>
        </w:rPr>
        <w:t>附件：</w:t>
      </w:r>
      <w:r>
        <w:rPr>
          <w:rFonts w:hint="eastAsia" w:ascii="仿宋" w:hAnsi="仿宋" w:eastAsia="仿宋" w:cs="仿宋"/>
          <w:bCs/>
          <w:kern w:val="2"/>
          <w:sz w:val="24"/>
          <w:szCs w:val="24"/>
          <w:highlight w:val="none"/>
          <w:lang w:bidi="ar"/>
        </w:rPr>
        <w:t>绩效评价指标体系框架打分表</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14:paraId="1FF395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仿宋" w:hAnsi="仿宋" w:eastAsia="仿宋" w:cs="仿宋"/>
          <w:sz w:val="24"/>
          <w:szCs w:val="24"/>
        </w:rPr>
        <w:fldChar w:fldCharType="end"/>
      </w:r>
    </w:p>
    <w:p w14:paraId="34CA4B48">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6AE05F49">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14:paraId="35E038B6">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color w:val="000000"/>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人力资源和社会保障局</w:t>
      </w:r>
    </w:p>
    <w:p w14:paraId="5D40D6B6">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14:paraId="0C63EBC5">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14:paraId="3C372AA3">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人力资源和社会保障局</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14:paraId="2B0098A4">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23244"/>
      <w:r>
        <w:rPr>
          <w:rFonts w:hint="eastAsia" w:ascii="仿宋" w:hAnsi="仿宋" w:eastAsia="仿宋" w:cs="仿宋"/>
          <w:b/>
          <w:bCs/>
          <w:sz w:val="32"/>
          <w:szCs w:val="32"/>
          <w:highlight w:val="none"/>
          <w:lang w:bidi="ar"/>
        </w:rPr>
        <w:t>部门基本情况</w:t>
      </w:r>
      <w:bookmarkEnd w:id="6"/>
    </w:p>
    <w:p w14:paraId="7404A8A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30493"/>
      <w:r>
        <w:rPr>
          <w:rFonts w:hint="eastAsia" w:ascii="仿宋" w:hAnsi="仿宋" w:eastAsia="仿宋" w:cs="仿宋"/>
          <w:b/>
          <w:bCs/>
          <w:sz w:val="32"/>
          <w:szCs w:val="32"/>
          <w:highlight w:val="none"/>
        </w:rPr>
        <w:t>（一）部门主要职能</w:t>
      </w:r>
      <w:bookmarkEnd w:id="7"/>
    </w:p>
    <w:p w14:paraId="15AF015F">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人力资源和社会保障局</w:t>
      </w:r>
      <w:r>
        <w:rPr>
          <w:rFonts w:hint="eastAsia" w:ascii="仿宋" w:hAnsi="仿宋" w:eastAsia="仿宋" w:cs="仿宋"/>
          <w:b w:val="0"/>
          <w:bCs w:val="0"/>
          <w:i w:val="0"/>
          <w:iCs w:val="0"/>
          <w:caps w:val="0"/>
          <w:color w:val="000000"/>
          <w:spacing w:val="0"/>
          <w:kern w:val="0"/>
          <w:sz w:val="32"/>
          <w:szCs w:val="32"/>
          <w:highlight w:val="none"/>
          <w:lang w:val="en-US" w:eastAsia="zh-CN"/>
        </w:rPr>
        <w:t>是市人民政府工作部门，为正县级机构。主要职能是:</w:t>
      </w:r>
    </w:p>
    <w:p w14:paraId="0318112B">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1、贯彻执行国家人力资源和社会保障的法律法规，贯彻执行自治区人力资源和社会保障地方性法规和政府规章，拟订全市人力资源和社会保障事业发展政策、规划并组织实施和监督检查。</w:t>
      </w:r>
    </w:p>
    <w:p w14:paraId="0E5E3D02">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2、拟订全市人力资源市场发展规划和人力资源服务业发展、人力资源流动政策并组织实施，促进人力资源合理流动、有效配置。</w:t>
      </w:r>
    </w:p>
    <w:p w14:paraId="708F0DF0">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3、负责促进全市就业工作，拟订统筹城乡的就业发展规划和政策并组织实施，完善公共就业创业服务体系，统筹建立面向城乡劳动者的职业技能培训制度，拟订就业援助制度，牵头拟订高校毕业生就业创业政策。</w:t>
      </w:r>
    </w:p>
    <w:p w14:paraId="13C57A38">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4、统筹推进建立覆盖城乡的多层次社会保障体系，贯彻执行自治区养老、失业、工伤等社会保险及其补充保险政策和标准，贯彻执行自治区关于参保人员社会保险关系转移接续办法。会同有关部门拟定养老、失业、工伤等社会保险及其补充保险基金的管理和监督制度并组织实施,编制相关社会保险基金预决算草案,贯彻执行相关社会保险基金投资运营政策。</w:t>
      </w:r>
    </w:p>
    <w:p w14:paraId="7E6C09F1">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5、负责全市就业、失业和相关社会保险基金预测预警及信息引导，拟订应对预案，实施预防、调节和控制，保持就业形势稳定和相关社会保险基金总体收支平衡。</w:t>
      </w:r>
    </w:p>
    <w:p w14:paraId="26D794AC">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6、监督实施劳动人事争议调解仲裁制度和劳动关系政策。监督实施职工工作时间、休息休假、假期制度和消除非法使用童工政策及女工、未成年工的特殊劳动保护政策。完善劳动关系协商协调机制。组织实施劳动保障监察，协调劳动者维权工作，依法查处重大案件。指导监督各县(区)劳动保障监察工作。</w:t>
      </w:r>
    </w:p>
    <w:p w14:paraId="79A13195">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7、牵头推进深化职称制度改革，拟订全市专业技术人员管理和继维续教育办法并组织实施。负责高层次专业技术人才选拔和培养工作。拟订并组织实施吸引留学人员来华(回国)工作或定居管理政策。拟定技能人才培养、评价、使用和激励制度。完善职业资格制度，健全职业技能多元化评价政策。</w:t>
      </w:r>
    </w:p>
    <w:p w14:paraId="15F37C71">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8、会同有关部门指导全市事业单位人事制度改革，按照管理权限拟订事业单位岗位设置、公开招聘、聘用管理等人事综合管理政策并组织实施，拟订事业单位人员和机关工勤人员管理政策并组织实施。</w:t>
      </w:r>
    </w:p>
    <w:p w14:paraId="47A2AF16">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9、会同有关部门贯彻执行自治区表彰奖励办法，综合管理表彰奖励工作，配合自治区开展评比达标表彰相关工作。</w:t>
      </w:r>
    </w:p>
    <w:p w14:paraId="1B818955">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10、贯彻执行自治区关于事业单位人员工资收入分配政策，建立企事业单位人员工资决定、正常增长和支付保障机制。贯彻执行企事业单位人员福利和离退休政策。</w:t>
      </w:r>
    </w:p>
    <w:p w14:paraId="2FA8E56B">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11、贯彻执行自治区关于农牧民工工作的综合性政策和工作规划，推动相关政策落实协调解决重点难点问题，维护农牧民工合法权益。</w:t>
      </w:r>
    </w:p>
    <w:p w14:paraId="408EC52D">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12、负责本行业领域安全生产监督管理和应急处置工作。</w:t>
      </w:r>
    </w:p>
    <w:p w14:paraId="1DC1F728">
      <w:pPr>
        <w:pStyle w:val="9"/>
        <w:keepNext w:val="0"/>
        <w:keepLines w:val="0"/>
        <w:pageBreakBefore w:val="0"/>
        <w:widowControl/>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13、完成市委、市政府交办的其他任务。</w:t>
      </w:r>
    </w:p>
    <w:p w14:paraId="38A4708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8" w:name="_Toc20274"/>
      <w:r>
        <w:rPr>
          <w:rFonts w:hint="eastAsia" w:ascii="仿宋" w:hAnsi="仿宋" w:eastAsia="仿宋" w:cs="仿宋"/>
          <w:b/>
          <w:bCs/>
          <w:sz w:val="32"/>
          <w:szCs w:val="32"/>
          <w:highlight w:val="none"/>
        </w:rPr>
        <w:t>（二）机构设置情况</w:t>
      </w:r>
      <w:bookmarkEnd w:id="8"/>
    </w:p>
    <w:p w14:paraId="1F80BF3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19个职能机构，分别是办公室、就业促进科(职业能力建设科、农民工工作科)、社会保险科、事业单位人事管理科(专业技术人员管理科、人力资源流动管理科)、工资福利科(社会保险基金监督管理科、财务科)、政策法规科、劳动保障监察科、劳动关系科(调解仲裁管理科)、政工人事科、劳动就业服务中心(职业技能鉴定中心)、社会保险服务中心(农村养老保险服务中心)、离退休工人服务中心、人才流动中心(高校毕业生就业指导服务中心)、(劳动人事争议仲裁院人力资源和社会保障信息中必、技工学校公分共职业技能实训基地)、(人力资源市场服务中心、人事考试中心、机关后勤服务中心)。</w:t>
      </w:r>
    </w:p>
    <w:p w14:paraId="4E642E02">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31240"/>
      <w:r>
        <w:rPr>
          <w:rFonts w:hint="eastAsia" w:ascii="仿宋" w:hAnsi="仿宋" w:eastAsia="仿宋" w:cs="仿宋"/>
          <w:b/>
          <w:bCs/>
          <w:sz w:val="32"/>
          <w:szCs w:val="32"/>
          <w:highlight w:val="none"/>
        </w:rPr>
        <w:t>（三）人员编制情况</w:t>
      </w:r>
      <w:bookmarkEnd w:id="9"/>
    </w:p>
    <w:p w14:paraId="4FD31788">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林芝市人力资源和社会保障局在职职工</w:t>
      </w:r>
      <w:r>
        <w:rPr>
          <w:rFonts w:hint="eastAsia" w:ascii="仿宋" w:hAnsi="仿宋" w:eastAsia="仿宋" w:cs="仿宋"/>
          <w:b w:val="0"/>
          <w:bCs w:val="0"/>
          <w:i w:val="0"/>
          <w:iCs w:val="0"/>
          <w:caps w:val="0"/>
          <w:color w:val="000000"/>
          <w:spacing w:val="0"/>
          <w:kern w:val="0"/>
          <w:sz w:val="32"/>
          <w:szCs w:val="32"/>
          <w:highlight w:val="none"/>
          <w:lang w:val="en-US" w:eastAsia="zh-CN"/>
        </w:rPr>
        <w:t>人数为65人，核定编制为53名。</w:t>
      </w:r>
    </w:p>
    <w:p w14:paraId="07D0526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29109"/>
      <w:r>
        <w:rPr>
          <w:rFonts w:hint="eastAsia" w:ascii="仿宋" w:hAnsi="仿宋" w:eastAsia="仿宋" w:cs="仿宋"/>
          <w:b/>
          <w:bCs/>
          <w:sz w:val="32"/>
          <w:szCs w:val="32"/>
          <w:highlight w:val="none"/>
        </w:rPr>
        <w:t>（四）年度总体工作和重点工作任务</w:t>
      </w:r>
      <w:bookmarkEnd w:id="10"/>
    </w:p>
    <w:p w14:paraId="220535B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14:paraId="10DBC8F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以来，全市人社系统在市委、市政府的坚强领导下，聚焦“四个创建”，聚力“四个走在前列”，突出稳就业保就业工作主线，统筹推进社会保障、人事人才、劳动关系等工作，抓亮点、促成效，抓创新、促发展，较好地完成了各项目标任务。</w:t>
      </w:r>
    </w:p>
    <w:p w14:paraId="4658651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14:paraId="1C998991">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大力实施就业优先政策，民生基本盘更“稳”。始终把“六稳”和“六保”之首的使命责任扛在肩上，聚力稳岗位、促就业。全市实现城镇新增就业4535人，完成目标任务的100.78%；全市2716名应届高校毕业生已就业2664名，就业率为98.09%，其中区外就业率为12.7%；全市实现农牧民转移就业4万人、劳务收入4.1亿元,分别完成年度目标任务的 105.3%、120.6%。落实政策稳就业。制发《林芝市就业创业扶持基金使用管理实施细则》，进一步强化对高校毕业生、农牧民等重点群体就业创业政策扶持。将高校毕业生就业创业补贴审核权限下放至县(市、区)一级，累计兑现高校毕业生就业创业补贴3937.29万元。对2019年以后创业的符合政策的1018名农牧民创业者兑现一次性创业补贴资金203.6万元。优化服务扩就业。通过“线上、线下”等方式，成功举办各类招聘活动48场次，817家企业提供16209个就业岗位,累计进场5203人、达成就业意向1351人。累计开发就业岗位5515个，完成目标任务的100.3%；开展职业指导2566人，职业介绍2313人次，职业介绍成功1703人，完成目标任务的 100.2%。与广东东莞、珠海等7地签订劳务协作协议，在广州、中山等8地设立劳务协作服务站，与四川省人社厅及雅安市人社局签订人力资源协同发展合作协议，全市区外劳务协议及劳务协作服务站(联络站)实现全覆盖。今年全市组织化转移就业27803人，占转移就业总人数的69.5%。各类政府投资项目吸纳本地农牧民16030人，占总用工人数的67.8%，实现劳务收入15199.84万元，其中400万元以下项目吸纳本地农牧民4652人，占总用工人数的82.9%，实现劳务收入 2527.4万元。提升技能促就业。累计开展重点项目建设用工、企业职工技能提升、农牧民转移就业等各类技能培训10385人，完成目标任务的 101.81%，其中订单定向和以工代训3674人，占比 35.4%。开展创业培训400人,完成目标任务的 133.3%。开展职业技能等级认定1905人次，完成目标任务的112%。精准发力保就业。启动“一把手”访企拓岗促就业攻坚行动，持续开展领导干部“一对一、一对多”帮扶工作，全市647名领导干部对应帮扶1094名应届高校毕业生。落实国家百万青年见习计划，帮助200余名高校毕业生进行实践锻炼。推送52名高校毕业生“组团式”赴粤市场就业。对接2023年广东省高校毕业生“三支一扶”计划定向招募9名西藏高校毕业生在粤实现就业。对接广东省事业单位专项招录西藏籍少数民族高校毕业生岗位50个，并有序开展招聘工作。出版发行《青春绽放-西藏籍高校毕业生在粤就业纪实》，挖掘宣传54名在粤就业典型，教育引导高校毕业生转变就业观念。</w:t>
      </w:r>
    </w:p>
    <w:p w14:paraId="3DC40C6C">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持续兜牢社会保障网络，群众幸福感更“实”。坚持以人民为中心，加大工作统筹力度，着力打造最美“林芝社保人”品牌。聚焦参保精准扩面。各类养老保险、工伤保险、失业保险参保人数均超额完成年度目标任务。其中，全市企业职工、机关事业单位、城乡居民基本养老保险参保人数分别达19596人、18184人、75270人，分别完成目标任务的102.82%、102.08%、100.1%；失业保险和工伤保险参保人数分别达24382人、65308人，分别完成目标任务的102.9%、161.34%。聚焦离退休人员帮扶。将离退休困难工人帮扶工作拓展至县区，将帮扶资金从30万元提高到50万元，并列入财政预算，已累计为48名需要帮扶的离退休困难工人发放帮扶资金41.75万元。今年共组织4批次110名离退休工人赴重庆、云南、成都等地健康疗养。累计为全市2774名退休工人发放“三大节日”慰问金277.4万元。聚焦社保待遇发放。基本养老、失业、工伤保险待遇发放率均达到100%。完成2022年度体检费和2023年护工费发放。城乡居民基本养老保险基础养老金由月人均220元提高至235元。完成全市7844名退休人员的基本养老金调整工作。对机关事业单位2021、2022年退休306名人员进行待遇重算。聚焦社保基金安全。核查修正2022年度城乡居民基本养老保险待遇发放982条问题数据。配合第三方审计组对我市2019年和2020年城乡居民基本养老保险基金开展审计。顺利通过自治区人社厅基金监督处对我市2022年社会保险基金绩效评价，总体评价为优等。完成2022年度工伤协议医疗机构考核，进一步规范了协议机构的工伤医疗行为。</w:t>
      </w:r>
    </w:p>
    <w:p w14:paraId="5BB6B07E">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充分激发人才创新活力，发展驱动力更“强”。全面落实区、市人才政策，为全市经济社会发展提供坚强人才支撑事业人员管理规范。顺利完成9261名在我市县(区、市)、乡镇及市直单位工作的事业单位工作人员2022年度考核工作。圆满完成2023年度全区2362名林芝市专业技术人员职称政治考试工作。初步确定我市2023年享受国务院政府特殊津贴人选1名，顺利招聘2023年度事业单位工作人员189人、部队定向生23人、非西藏生源定向生7人，现已派遣上岗。2023年退伍安置10人，驻藏部队退役士兵专项招聘事业单位人员30人。公开招聘乡镇卫生院长期聘用(含公益性技术性岗位)人员6名。完成36名林芝籍艺术专业定向委培单招单录(聘)工作。派遣农村订单定向免费医学生25人。技工教育成果丰硕。积极参加各类职业技能大赛，累计选拔推荐68名选手和裁判参加西藏自治区第一届技工(职业)院校职业技能大赛、全区第五届职业技能大赛及全国第二届职业技能大赛，均取得优异成绩，市级层面为13名获奖选手兑现奖金18万元。林芝市高级技工学校2020级208名学生已实现就业198人，就业率达95.2%；75名2021级学生在林芝各大酒店、厦门铁路局等开展跟岗实习，岗位实习比例达66.4%。</w:t>
      </w:r>
    </w:p>
    <w:p w14:paraId="28616E89">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全面构建和谐劳动关系，群众满意度更“高”。坚持防、治结合，综合治理，全力维护劳动者权益和劳动关系和谐根治欠薪取得积极成效。严格落实《保障农民工工资支付条例》，实名制覆盖率及工资专户覆盖率居全区前列，根治欠薪工作连续5年在全区专项考核中获评A级。出台了《关于建设工程领域根治欠薪工作的实施意见》《林芝市工程建设领域农民工工资保证金第三方担保暂行办法》。深入开展根治欠薪冬季专项行动、“春雷行动”及“薪暖行动”、2022年度欠薪(案件)“回头看”严肃查处欠薪违法典型案件，将3家企业列入重大劳动保障违法行为名单，向公安机关移交涉嫌拒不支付劳动报酬罪案件2起今年全市共受理欠薪线索298起，办结298起，结案率100%，为2071名农民工追发工资待遇3079.63万元。调解仲裁效能明显提升。率先在全区打造了“劳动争议调解室”，首次启用了线上开庭模式，指导4个县(区、市)成立劳动人事争议仲裁院案件办理效能不断提升。今年以来共收到劳动仲裁申请159起依法受理142起，现已办结142起，其中调解115起、裁决27起、涉及劳动者218人,涉及金额498.7万元,调解成功率为80%,结案率100%。市人社局仲裁院荣获2022年度全国突出基层劳动人事争议调解组织。法治人社建设基础牢固。邀请法律顾问、党校教授开展学习习近平法治思想培训、法务联系座谈会、合同签订等专题法律讲座4次。受理工伤案件211起、认定 197 起、办结197起，办结率93.3%。顺利通过“八五”普法中期验收评估。承办的 13件(其中主办7件，会办协办4件)人大代表建议和政协委员提案已全部办结，沟通率、满意率均达到100%。</w:t>
      </w:r>
    </w:p>
    <w:p w14:paraId="42AD4A68">
      <w:pPr>
        <w:keepNext w:val="0"/>
        <w:keepLines w:val="0"/>
        <w:pageBreakBefore w:val="0"/>
        <w:widowControl w:val="0"/>
        <w:kinsoku/>
        <w:wordWrap/>
        <w:overflowPunct/>
        <w:topLinePunct w:val="0"/>
        <w:autoSpaceDE/>
        <w:autoSpaceDN/>
        <w:bidi w:val="0"/>
        <w:adjustRightInd/>
        <w:snapToGrid/>
        <w:ind w:firstLine="482"/>
        <w:textAlignment w:val="auto"/>
        <w:outlineLvl w:val="1"/>
        <w:rPr>
          <w:rFonts w:hint="eastAsia" w:ascii="仿宋" w:hAnsi="仿宋" w:eastAsia="仿宋" w:cs="仿宋"/>
          <w:b/>
          <w:bCs/>
          <w:sz w:val="32"/>
          <w:szCs w:val="32"/>
          <w:highlight w:val="none"/>
        </w:rPr>
      </w:pPr>
      <w:bookmarkStart w:id="11" w:name="_Toc11728"/>
      <w:r>
        <w:rPr>
          <w:rFonts w:hint="eastAsia" w:ascii="仿宋" w:hAnsi="仿宋" w:eastAsia="仿宋" w:cs="仿宋"/>
          <w:b/>
          <w:bCs/>
          <w:sz w:val="32"/>
          <w:szCs w:val="32"/>
          <w:highlight w:val="none"/>
        </w:rPr>
        <w:t>（五）部门预算批复及整体支出安排情况</w:t>
      </w:r>
      <w:bookmarkEnd w:id="11"/>
    </w:p>
    <w:p w14:paraId="2E3C7F42">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14:paraId="471C2E9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年初预算数</w:t>
      </w:r>
      <w:r>
        <w:rPr>
          <w:rFonts w:hint="eastAsia" w:ascii="仿宋" w:hAnsi="仿宋" w:eastAsia="仿宋" w:cs="仿宋"/>
          <w:sz w:val="32"/>
          <w:szCs w:val="32"/>
          <w:highlight w:val="none"/>
          <w:lang w:val="en-US" w:eastAsia="zh-CN"/>
        </w:rPr>
        <w:t>10,986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61万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调整后调增数额为843.98万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其中：一般公共预算11,826.64万元、政府性基金预算00.00万元、国有资本经营预算0.00万元、年初结转结余3.95万元。</w:t>
      </w:r>
    </w:p>
    <w:p w14:paraId="6ED2E31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14:paraId="21B5A5D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决算数为</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其中：基本支出金额为3,383.57万元，项目支出金额为8,442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02万元。</w:t>
      </w:r>
    </w:p>
    <w:p w14:paraId="7695DD2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2" w:name="_Toc11527"/>
      <w:r>
        <w:rPr>
          <w:rFonts w:hint="eastAsia" w:ascii="仿宋" w:hAnsi="仿宋" w:eastAsia="仿宋" w:cs="仿宋"/>
          <w:b/>
          <w:bCs/>
          <w:sz w:val="32"/>
          <w:szCs w:val="32"/>
          <w:highlight w:val="none"/>
          <w:lang w:bidi="ar"/>
        </w:rPr>
        <w:t>二、绩效评价工作开展情况</w:t>
      </w:r>
      <w:bookmarkEnd w:id="12"/>
    </w:p>
    <w:p w14:paraId="64846ED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3" w:name="_Toc32250"/>
      <w:r>
        <w:rPr>
          <w:rFonts w:hint="eastAsia" w:ascii="仿宋" w:hAnsi="仿宋" w:eastAsia="仿宋" w:cs="仿宋"/>
          <w:b/>
          <w:bCs/>
          <w:sz w:val="32"/>
          <w:szCs w:val="32"/>
          <w:highlight w:val="none"/>
          <w:lang w:bidi="ar"/>
        </w:rPr>
        <w:t>（一）绩效评价目的、对象和范围</w:t>
      </w:r>
      <w:bookmarkEnd w:id="13"/>
    </w:p>
    <w:p w14:paraId="2A1C548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14:paraId="1AD57D10">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14:paraId="08DBD0E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14:paraId="61378189">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市人社局</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w:t>
      </w:r>
      <w:r>
        <w:rPr>
          <w:rFonts w:hint="eastAsia" w:ascii="仿宋" w:hAnsi="仿宋" w:eastAsia="仿宋" w:cs="仿宋"/>
          <w:sz w:val="32"/>
          <w:szCs w:val="32"/>
          <w:highlight w:val="none"/>
          <w:lang w:val="en" w:eastAsia="zh-CN"/>
        </w:rPr>
        <w:t>元</w:t>
      </w:r>
      <w:r>
        <w:rPr>
          <w:rFonts w:hint="eastAsia" w:ascii="仿宋" w:hAnsi="仿宋" w:eastAsia="仿宋" w:cs="仿宋"/>
          <w:sz w:val="32"/>
          <w:szCs w:val="32"/>
          <w:highlight w:val="none"/>
          <w:lang w:val="en"/>
        </w:rPr>
        <w:t>。评价时间范围：202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14:paraId="18029FF3">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2914"/>
      <w:bookmarkStart w:id="15" w:name="_Toc9167"/>
      <w:bookmarkStart w:id="16" w:name="_Toc4468"/>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4"/>
      <w:bookmarkEnd w:id="15"/>
      <w:bookmarkEnd w:id="16"/>
    </w:p>
    <w:p w14:paraId="5C330F1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14:paraId="415590C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14:paraId="4479590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14:paraId="00B2CF1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14:paraId="165D535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14:paraId="75F470A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14:paraId="1F1B9E9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14:paraId="0F9799A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14:paraId="01C8E59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14:paraId="41167C04">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14:paraId="2F0A365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14:paraId="7721590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14:paraId="62C2222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14:paraId="1B00E80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14:paraId="7BB283D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14:paraId="6CD3AEA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14:paraId="0B8CE1F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14:paraId="53F1FC1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14:paraId="0EBCD97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14:paraId="6E019BC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14:paraId="3F495090">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市人社局</w:t>
      </w:r>
      <w:r>
        <w:rPr>
          <w:rFonts w:hint="eastAsia" w:ascii="仿宋" w:hAnsi="仿宋" w:eastAsia="仿宋" w:cs="仿宋"/>
          <w:sz w:val="32"/>
          <w:szCs w:val="32"/>
          <w:highlight w:val="none"/>
        </w:rPr>
        <w:t>履职目标要求作为行业标准参考。</w:t>
      </w:r>
    </w:p>
    <w:p w14:paraId="18227F3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w:t>
      </w:r>
      <w:bookmarkStart w:id="32" w:name="_GoBack"/>
      <w:bookmarkEnd w:id="32"/>
      <w:r>
        <w:rPr>
          <w:rFonts w:hint="eastAsia" w:ascii="仿宋" w:hAnsi="仿宋" w:eastAsia="仿宋" w:cs="仿宋"/>
          <w:sz w:val="32"/>
          <w:szCs w:val="32"/>
          <w:highlight w:val="none"/>
        </w:rPr>
        <w:t>部门认可的其他标准。本次评价中决策及过程指标采用其他标准。</w:t>
      </w:r>
    </w:p>
    <w:p w14:paraId="6587D69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14:paraId="5E78B46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14:paraId="7605D18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14:paraId="7E20DC0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7" w:name="_Toc6904"/>
      <w:r>
        <w:rPr>
          <w:rFonts w:hint="eastAsia" w:ascii="仿宋" w:hAnsi="仿宋" w:eastAsia="仿宋" w:cs="仿宋"/>
          <w:b/>
          <w:bCs/>
          <w:sz w:val="32"/>
          <w:szCs w:val="32"/>
          <w:highlight w:val="none"/>
          <w:lang w:bidi="ar"/>
        </w:rPr>
        <w:t>（三）绩效评价工作过程</w:t>
      </w:r>
      <w:bookmarkEnd w:id="17"/>
    </w:p>
    <w:p w14:paraId="1300217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14:paraId="0D933626">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14:paraId="661E9D0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14:paraId="41AC39A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14:paraId="25A08E2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14:paraId="1B09981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14:paraId="726703B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14:paraId="500DC62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14:paraId="36DA813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14:paraId="7D599F6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14:paraId="67A4DE5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14:paraId="2B915042">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14:paraId="029F52A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14:paraId="423DCBE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14:paraId="4CB8D80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14:paraId="47D9648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14:paraId="40964EB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14:paraId="3EB4E65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8" w:name="_Toc9072"/>
      <w:r>
        <w:rPr>
          <w:rFonts w:hint="eastAsia" w:ascii="仿宋" w:hAnsi="仿宋" w:eastAsia="仿宋" w:cs="仿宋"/>
          <w:b/>
          <w:bCs/>
          <w:sz w:val="32"/>
          <w:szCs w:val="32"/>
          <w:highlight w:val="none"/>
          <w:lang w:bidi="ar"/>
        </w:rPr>
        <w:t>三、综合评价情况及评价结论</w:t>
      </w:r>
      <w:bookmarkEnd w:id="18"/>
    </w:p>
    <w:p w14:paraId="46A3C4E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0"/>
        <w:tblW w:w="4997"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2209"/>
        <w:gridCol w:w="2210"/>
        <w:gridCol w:w="2210"/>
        <w:gridCol w:w="2238"/>
      </w:tblGrid>
      <w:tr w14:paraId="5E39F45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0888D108">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1246" w:type="pct"/>
            <w:tcBorders>
              <w:tl2br w:val="nil"/>
              <w:tr2bl w:val="nil"/>
            </w:tcBorders>
            <w:noWrap w:val="0"/>
            <w:tcMar>
              <w:top w:w="10" w:type="dxa"/>
              <w:left w:w="10" w:type="dxa"/>
              <w:right w:w="10" w:type="dxa"/>
            </w:tcMar>
            <w:vAlign w:val="center"/>
          </w:tcPr>
          <w:p w14:paraId="5301F86D">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1246" w:type="pct"/>
            <w:tcBorders>
              <w:tl2br w:val="nil"/>
              <w:tr2bl w:val="nil"/>
            </w:tcBorders>
            <w:noWrap w:val="0"/>
            <w:tcMar>
              <w:top w:w="10" w:type="dxa"/>
              <w:left w:w="10" w:type="dxa"/>
              <w:right w:w="10" w:type="dxa"/>
            </w:tcMar>
            <w:vAlign w:val="center"/>
          </w:tcPr>
          <w:p w14:paraId="5F1D691F">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1259" w:type="pct"/>
            <w:tcBorders>
              <w:tl2br w:val="nil"/>
              <w:tr2bl w:val="nil"/>
            </w:tcBorders>
            <w:noWrap w:val="0"/>
            <w:tcMar>
              <w:top w:w="10" w:type="dxa"/>
              <w:left w:w="10" w:type="dxa"/>
              <w:right w:w="10" w:type="dxa"/>
            </w:tcMar>
            <w:vAlign w:val="center"/>
          </w:tcPr>
          <w:p w14:paraId="20EA2382">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14:paraId="631CEEE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3E659426">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1246" w:type="pct"/>
            <w:tcBorders>
              <w:tl2br w:val="nil"/>
              <w:tr2bl w:val="nil"/>
            </w:tcBorders>
            <w:noWrap w:val="0"/>
            <w:tcMar>
              <w:top w:w="10" w:type="dxa"/>
              <w:left w:w="10" w:type="dxa"/>
              <w:right w:w="10" w:type="dxa"/>
            </w:tcMar>
            <w:vAlign w:val="center"/>
          </w:tcPr>
          <w:p w14:paraId="2E82C8D9">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1246" w:type="pct"/>
            <w:tcBorders>
              <w:tl2br w:val="nil"/>
              <w:tr2bl w:val="nil"/>
            </w:tcBorders>
            <w:noWrap w:val="0"/>
            <w:tcMar>
              <w:top w:w="10" w:type="dxa"/>
              <w:left w:w="10" w:type="dxa"/>
              <w:right w:w="10" w:type="dxa"/>
            </w:tcMar>
            <w:vAlign w:val="center"/>
          </w:tcPr>
          <w:p w14:paraId="19ED90C9">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12.00</w:t>
            </w:r>
          </w:p>
        </w:tc>
        <w:tc>
          <w:tcPr>
            <w:tcW w:w="1259" w:type="pct"/>
            <w:tcBorders>
              <w:tl2br w:val="nil"/>
              <w:tr2bl w:val="nil"/>
            </w:tcBorders>
            <w:noWrap w:val="0"/>
            <w:tcMar>
              <w:top w:w="10" w:type="dxa"/>
              <w:left w:w="10" w:type="dxa"/>
              <w:right w:w="10" w:type="dxa"/>
            </w:tcMar>
            <w:vAlign w:val="center"/>
          </w:tcPr>
          <w:p w14:paraId="21ECA411">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80.00%</w:t>
            </w:r>
          </w:p>
        </w:tc>
      </w:tr>
      <w:tr w14:paraId="4CBDF2D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494E051D">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1246" w:type="pct"/>
            <w:tcBorders>
              <w:tl2br w:val="nil"/>
              <w:tr2bl w:val="nil"/>
            </w:tcBorders>
            <w:noWrap w:val="0"/>
            <w:tcMar>
              <w:top w:w="10" w:type="dxa"/>
              <w:left w:w="10" w:type="dxa"/>
              <w:right w:w="10" w:type="dxa"/>
            </w:tcMar>
            <w:vAlign w:val="center"/>
          </w:tcPr>
          <w:p w14:paraId="327130A3">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1246" w:type="pct"/>
            <w:tcBorders>
              <w:tl2br w:val="nil"/>
              <w:tr2bl w:val="nil"/>
            </w:tcBorders>
            <w:noWrap w:val="0"/>
            <w:tcMar>
              <w:top w:w="10" w:type="dxa"/>
              <w:left w:w="10" w:type="dxa"/>
              <w:right w:w="10" w:type="dxa"/>
            </w:tcMar>
            <w:vAlign w:val="center"/>
          </w:tcPr>
          <w:p w14:paraId="53A7182C">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47.00</w:t>
            </w:r>
          </w:p>
        </w:tc>
        <w:tc>
          <w:tcPr>
            <w:tcW w:w="1259" w:type="pct"/>
            <w:tcBorders>
              <w:tl2br w:val="nil"/>
              <w:tr2bl w:val="nil"/>
            </w:tcBorders>
            <w:noWrap w:val="0"/>
            <w:tcMar>
              <w:top w:w="10" w:type="dxa"/>
              <w:left w:w="10" w:type="dxa"/>
              <w:right w:w="10" w:type="dxa"/>
            </w:tcMar>
            <w:vAlign w:val="center"/>
          </w:tcPr>
          <w:p w14:paraId="6642814D">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95.92%</w:t>
            </w:r>
          </w:p>
        </w:tc>
      </w:tr>
      <w:tr w14:paraId="61477771">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15BA505E">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1246" w:type="pct"/>
            <w:tcBorders>
              <w:tl2br w:val="nil"/>
              <w:tr2bl w:val="nil"/>
            </w:tcBorders>
            <w:noWrap w:val="0"/>
            <w:tcMar>
              <w:top w:w="10" w:type="dxa"/>
              <w:left w:w="10" w:type="dxa"/>
              <w:right w:w="10" w:type="dxa"/>
            </w:tcMar>
            <w:vAlign w:val="center"/>
          </w:tcPr>
          <w:p w14:paraId="155ECB4F">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46" w:type="pct"/>
            <w:tcBorders>
              <w:tl2br w:val="nil"/>
              <w:tr2bl w:val="nil"/>
            </w:tcBorders>
            <w:noWrap w:val="0"/>
            <w:tcMar>
              <w:top w:w="10" w:type="dxa"/>
              <w:left w:w="10" w:type="dxa"/>
              <w:right w:w="10" w:type="dxa"/>
            </w:tcMar>
            <w:vAlign w:val="center"/>
          </w:tcPr>
          <w:p w14:paraId="19EB5A9C">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16.00</w:t>
            </w:r>
          </w:p>
        </w:tc>
        <w:tc>
          <w:tcPr>
            <w:tcW w:w="1259" w:type="pct"/>
            <w:tcBorders>
              <w:tl2br w:val="nil"/>
              <w:tr2bl w:val="nil"/>
            </w:tcBorders>
            <w:noWrap w:val="0"/>
            <w:tcMar>
              <w:top w:w="10" w:type="dxa"/>
              <w:left w:w="10" w:type="dxa"/>
              <w:right w:w="10" w:type="dxa"/>
            </w:tcMar>
            <w:vAlign w:val="center"/>
          </w:tcPr>
          <w:p w14:paraId="2F3E0F5C">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14:paraId="32D0DB7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3A7C209B">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1246" w:type="pct"/>
            <w:tcBorders>
              <w:tl2br w:val="nil"/>
              <w:tr2bl w:val="nil"/>
            </w:tcBorders>
            <w:noWrap w:val="0"/>
            <w:tcMar>
              <w:top w:w="10" w:type="dxa"/>
              <w:left w:w="10" w:type="dxa"/>
              <w:right w:w="10" w:type="dxa"/>
            </w:tcMar>
            <w:vAlign w:val="center"/>
          </w:tcPr>
          <w:p w14:paraId="31A25F67">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1246" w:type="pct"/>
            <w:tcBorders>
              <w:tl2br w:val="nil"/>
              <w:tr2bl w:val="nil"/>
            </w:tcBorders>
            <w:noWrap w:val="0"/>
            <w:tcMar>
              <w:top w:w="10" w:type="dxa"/>
              <w:left w:w="10" w:type="dxa"/>
              <w:right w:w="10" w:type="dxa"/>
            </w:tcMar>
            <w:vAlign w:val="center"/>
          </w:tcPr>
          <w:p w14:paraId="22667F20">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15.93</w:t>
            </w:r>
          </w:p>
        </w:tc>
        <w:tc>
          <w:tcPr>
            <w:tcW w:w="1259" w:type="pct"/>
            <w:tcBorders>
              <w:tl2br w:val="nil"/>
              <w:tr2bl w:val="nil"/>
            </w:tcBorders>
            <w:noWrap w:val="0"/>
            <w:tcMar>
              <w:top w:w="10" w:type="dxa"/>
              <w:left w:w="10" w:type="dxa"/>
              <w:right w:w="10" w:type="dxa"/>
            </w:tcMar>
            <w:vAlign w:val="center"/>
          </w:tcPr>
          <w:p w14:paraId="29F940D5">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79.65%</w:t>
            </w:r>
          </w:p>
        </w:tc>
      </w:tr>
      <w:tr w14:paraId="5A620496">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5000" w:type="pct"/>
            <w:gridSpan w:val="4"/>
            <w:tcBorders>
              <w:tl2br w:val="nil"/>
              <w:tr2bl w:val="nil"/>
            </w:tcBorders>
            <w:noWrap w:val="0"/>
            <w:tcMar>
              <w:top w:w="10" w:type="dxa"/>
              <w:left w:w="10" w:type="dxa"/>
              <w:right w:w="10" w:type="dxa"/>
            </w:tcMar>
            <w:vAlign w:val="center"/>
          </w:tcPr>
          <w:p w14:paraId="3B6CCFDD">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90</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93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优</w:t>
            </w:r>
          </w:p>
        </w:tc>
      </w:tr>
    </w:tbl>
    <w:p w14:paraId="45246FA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9" w:name="_Toc2140"/>
      <w:r>
        <w:rPr>
          <w:rFonts w:hint="eastAsia" w:ascii="仿宋" w:hAnsi="仿宋" w:eastAsia="仿宋" w:cs="仿宋"/>
          <w:b/>
          <w:bCs/>
          <w:sz w:val="32"/>
          <w:szCs w:val="32"/>
          <w:highlight w:val="none"/>
          <w:lang w:bidi="ar"/>
        </w:rPr>
        <w:t>四、绩效评价指标分析</w:t>
      </w:r>
      <w:bookmarkEnd w:id="19"/>
    </w:p>
    <w:p w14:paraId="291DF35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0" w:name="_Toc17936"/>
      <w:r>
        <w:rPr>
          <w:rFonts w:hint="eastAsia" w:ascii="仿宋" w:hAnsi="仿宋" w:eastAsia="仿宋" w:cs="仿宋"/>
          <w:b/>
          <w:bCs/>
          <w:sz w:val="32"/>
          <w:szCs w:val="32"/>
          <w:highlight w:val="none"/>
          <w:lang w:bidi="ar"/>
        </w:rPr>
        <w:t>（一）项目投入情况</w:t>
      </w:r>
      <w:bookmarkEnd w:id="20"/>
    </w:p>
    <w:p w14:paraId="305F9A1A">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分。</w:t>
      </w:r>
    </w:p>
    <w:p w14:paraId="00CCCD1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color w:val="000000"/>
          <w:sz w:val="32"/>
          <w:szCs w:val="32"/>
          <w:highlight w:val="none"/>
          <w:lang w:bidi="ar"/>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14:paraId="743777F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1AAE9EA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22D292A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noWrap/>
            <w:vAlign w:val="center"/>
          </w:tcPr>
          <w:p w14:paraId="25A87FE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noWrap/>
            <w:vAlign w:val="center"/>
          </w:tcPr>
          <w:p w14:paraId="78DE339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noWrap/>
            <w:vAlign w:val="center"/>
          </w:tcPr>
          <w:p w14:paraId="2343F1D9">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noWrap/>
            <w:vAlign w:val="center"/>
          </w:tcPr>
          <w:p w14:paraId="34442AC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142435D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079F406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5ED15741">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noWrap w:val="0"/>
            <w:vAlign w:val="center"/>
          </w:tcPr>
          <w:p w14:paraId="0C219DC6">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noWrap w:val="0"/>
            <w:vAlign w:val="center"/>
          </w:tcPr>
          <w:p w14:paraId="016739EF">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40606B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0CB729C7">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1B06B63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5F3F111">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AA95328">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19A02AA5">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25C2F9A6">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5C0E198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1745DD86">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7E044C3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83B4B7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A6B9CEE">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1764F2F0">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08B63D7E">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0557791E">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159A9265">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72D0ED0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09CE3A6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859DC16">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259B067E">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1671BC67">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01698896">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5C911081">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14:paraId="726916D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C784544">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1CFD52D">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140143AF">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6E9E474B">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95DB141">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noWrap/>
            <w:vAlign w:val="center"/>
          </w:tcPr>
          <w:p w14:paraId="7CF661FC">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14:paraId="01986B4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5BE9B8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0EA6CD7">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noWrap/>
            <w:vAlign w:val="center"/>
          </w:tcPr>
          <w:p w14:paraId="0AD898E4">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14:paraId="024E708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2CBCD05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noWrap/>
            <w:vAlign w:val="center"/>
          </w:tcPr>
          <w:p w14:paraId="6B1BCC5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293A605E">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0</w:t>
            </w:r>
          </w:p>
        </w:tc>
      </w:tr>
      <w:tr w14:paraId="29132EC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1B64319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24497A5">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7FEE3A9B">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781DA7A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noWrap/>
            <w:vAlign w:val="center"/>
          </w:tcPr>
          <w:p w14:paraId="423CFB9F">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B9087EF">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p>
        </w:tc>
      </w:tr>
      <w:tr w14:paraId="7CE49B6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26023A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CEC233D">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2A731A90">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7D74C3C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noWrap/>
            <w:vAlign w:val="center"/>
          </w:tcPr>
          <w:p w14:paraId="4841E4B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684AC001">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3CE88C3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D0A36D4">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3008C9B">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noWrap/>
            <w:vAlign w:val="center"/>
          </w:tcPr>
          <w:p w14:paraId="5E12FC2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noWrap/>
            <w:vAlign w:val="center"/>
          </w:tcPr>
          <w:p w14:paraId="3D83743B">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noWrap/>
            <w:vAlign w:val="center"/>
          </w:tcPr>
          <w:p w14:paraId="0AFC84E1">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12</w:t>
            </w:r>
          </w:p>
        </w:tc>
      </w:tr>
    </w:tbl>
    <w:p w14:paraId="2175B29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14:paraId="0DAB709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14:paraId="5F9C185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lang w:val="en-US" w:eastAsia="zh-CN" w:bidi="ar"/>
        </w:rPr>
        <w:t>设立的整体支出绩效目标依据充分，符合客观实际、符合国家法律法规、国民经济和社会发展总体规划。本项满分1分，实际得分1分。</w:t>
      </w:r>
    </w:p>
    <w:p w14:paraId="77A82B2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14:paraId="3B78387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46D936C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14:paraId="29E156C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lang w:val="en-US" w:eastAsia="zh-CN" w:bidi="ar"/>
        </w:rPr>
        <w:t>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24EC289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14:paraId="055ABC6B">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58F1B3A9">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14:paraId="7F8A8581">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6"/>
          <w:rFonts w:hint="eastAsia" w:ascii="仿宋" w:hAnsi="仿宋" w:eastAsia="仿宋" w:cs="仿宋"/>
          <w:sz w:val="32"/>
          <w:szCs w:val="32"/>
          <w:highlight w:val="none"/>
          <w:lang w:eastAsia="zh-CN" w:bidi="ar"/>
        </w:rPr>
      </w:pPr>
      <w:r>
        <w:rPr>
          <w:rStyle w:val="16"/>
          <w:rFonts w:hint="eastAsia" w:ascii="仿宋" w:hAnsi="仿宋" w:eastAsia="仿宋" w:cs="仿宋"/>
          <w:sz w:val="32"/>
          <w:szCs w:val="32"/>
          <w:highlight w:val="none"/>
          <w:lang w:eastAsia="zh-CN" w:bidi="ar"/>
        </w:rPr>
        <w:t>绩效目标表</w:t>
      </w:r>
      <w:r>
        <w:rPr>
          <w:rStyle w:val="16"/>
          <w:rFonts w:hint="eastAsia" w:ascii="仿宋" w:hAnsi="仿宋" w:eastAsia="仿宋" w:cs="仿宋"/>
          <w:sz w:val="32"/>
          <w:szCs w:val="32"/>
          <w:highlight w:val="none"/>
          <w:lang w:val="en-US" w:eastAsia="zh-CN" w:bidi="ar"/>
        </w:rPr>
        <w:t>中</w:t>
      </w:r>
      <w:r>
        <w:rPr>
          <w:rStyle w:val="16"/>
          <w:rFonts w:hint="eastAsia" w:ascii="仿宋" w:hAnsi="仿宋" w:eastAsia="仿宋" w:cs="仿宋"/>
          <w:sz w:val="32"/>
          <w:szCs w:val="32"/>
          <w:highlight w:val="none"/>
          <w:lang w:eastAsia="zh-CN" w:bidi="ar"/>
        </w:rPr>
        <w:t>年度资金总额</w:t>
      </w:r>
      <w:r>
        <w:rPr>
          <w:rStyle w:val="16"/>
          <w:rFonts w:hint="eastAsia" w:ascii="仿宋" w:hAnsi="仿宋" w:eastAsia="仿宋" w:cs="仿宋"/>
          <w:sz w:val="32"/>
          <w:szCs w:val="32"/>
          <w:highlight w:val="none"/>
          <w:lang w:val="en-US" w:eastAsia="zh-CN" w:bidi="ar"/>
        </w:rPr>
        <w:t>为</w:t>
      </w:r>
      <w:r>
        <w:rPr>
          <w:rFonts w:hint="eastAsia" w:ascii="仿宋" w:hAnsi="仿宋" w:eastAsia="仿宋" w:cs="仿宋"/>
          <w:sz w:val="32"/>
          <w:szCs w:val="32"/>
          <w:highlight w:val="none"/>
          <w:lang w:val="en-US" w:eastAsia="zh-CN"/>
        </w:rPr>
        <w:t>10,986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61万</w:t>
      </w:r>
      <w:r>
        <w:rPr>
          <w:rStyle w:val="16"/>
          <w:rFonts w:hint="eastAsia" w:ascii="仿宋" w:hAnsi="仿宋" w:eastAsia="仿宋" w:cs="仿宋"/>
          <w:sz w:val="32"/>
          <w:szCs w:val="32"/>
          <w:highlight w:val="none"/>
          <w:lang w:eastAsia="zh-CN" w:bidi="ar"/>
        </w:rPr>
        <w:t>元，根据林芝市财政局下达的《关于</w:t>
      </w:r>
      <w:r>
        <w:rPr>
          <w:rStyle w:val="16"/>
          <w:rFonts w:hint="eastAsia" w:ascii="仿宋" w:hAnsi="仿宋" w:eastAsia="仿宋" w:cs="仿宋"/>
          <w:sz w:val="32"/>
          <w:szCs w:val="32"/>
          <w:highlight w:val="none"/>
          <w:lang w:val="en-US" w:eastAsia="zh-CN" w:bidi="ar"/>
        </w:rPr>
        <w:t>下达2023年第二批就业补助资金预算指标</w:t>
      </w:r>
      <w:r>
        <w:rPr>
          <w:rStyle w:val="16"/>
          <w:rFonts w:hint="eastAsia" w:ascii="仿宋" w:hAnsi="仿宋" w:eastAsia="仿宋" w:cs="仿宋"/>
          <w:sz w:val="32"/>
          <w:szCs w:val="32"/>
          <w:highlight w:val="none"/>
          <w:lang w:eastAsia="zh-CN" w:bidi="ar"/>
        </w:rPr>
        <w:t>的通知》林财</w:t>
      </w:r>
      <w:r>
        <w:rPr>
          <w:rStyle w:val="16"/>
          <w:rFonts w:hint="eastAsia" w:ascii="仿宋" w:hAnsi="仿宋" w:eastAsia="仿宋" w:cs="仿宋"/>
          <w:sz w:val="32"/>
          <w:szCs w:val="32"/>
          <w:highlight w:val="none"/>
          <w:lang w:val="en-US" w:eastAsia="zh-CN" w:bidi="ar"/>
        </w:rPr>
        <w:t>社</w:t>
      </w:r>
      <w:r>
        <w:rPr>
          <w:rStyle w:val="16"/>
          <w:rFonts w:hint="eastAsia" w:ascii="仿宋" w:hAnsi="仿宋" w:eastAsia="仿宋" w:cs="仿宋"/>
          <w:sz w:val="32"/>
          <w:szCs w:val="32"/>
          <w:highlight w:val="none"/>
          <w:lang w:eastAsia="zh-CN" w:bidi="ar"/>
        </w:rPr>
        <w:t>指〔20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29</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关于下达2023年预算调整资金指标的通知</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林财科教指</w:t>
      </w:r>
      <w:r>
        <w:rPr>
          <w:rStyle w:val="16"/>
          <w:rFonts w:hint="eastAsia" w:ascii="仿宋" w:hAnsi="仿宋" w:eastAsia="仿宋" w:cs="仿宋"/>
          <w:sz w:val="32"/>
          <w:szCs w:val="32"/>
          <w:highlight w:val="none"/>
          <w:lang w:eastAsia="zh-CN" w:bidi="ar"/>
        </w:rPr>
        <w:t>〔20</w:t>
      </w:r>
      <w:r>
        <w:rPr>
          <w:rStyle w:val="16"/>
          <w:rFonts w:hint="eastAsia" w:ascii="仿宋" w:hAnsi="仿宋" w:eastAsia="仿宋" w:cs="仿宋"/>
          <w:sz w:val="32"/>
          <w:szCs w:val="32"/>
          <w:highlight w:val="none"/>
          <w:lang w:val="en-US" w:eastAsia="zh-CN" w:bidi="ar"/>
        </w:rPr>
        <w:t>23</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val="en-US" w:eastAsia="zh-CN" w:bidi="ar"/>
        </w:rPr>
        <w:t>7</w:t>
      </w:r>
      <w:r>
        <w:rPr>
          <w:rStyle w:val="16"/>
          <w:rFonts w:hint="eastAsia" w:ascii="仿宋" w:hAnsi="仿宋" w:eastAsia="仿宋" w:cs="仿宋"/>
          <w:sz w:val="32"/>
          <w:szCs w:val="32"/>
          <w:highlight w:val="none"/>
          <w:lang w:eastAsia="zh-CN" w:bidi="ar"/>
        </w:rPr>
        <w:t>号</w:t>
      </w:r>
      <w:r>
        <w:rPr>
          <w:rStyle w:val="16"/>
          <w:rFonts w:hint="eastAsia" w:ascii="仿宋" w:hAnsi="仿宋" w:eastAsia="仿宋" w:cs="仿宋"/>
          <w:sz w:val="32"/>
          <w:szCs w:val="32"/>
          <w:highlight w:val="none"/>
          <w:lang w:val="en-US" w:eastAsia="zh-CN" w:bidi="ar"/>
        </w:rPr>
        <w:t>等</w:t>
      </w:r>
      <w:r>
        <w:rPr>
          <w:rStyle w:val="16"/>
          <w:rFonts w:hint="eastAsia" w:ascii="仿宋" w:hAnsi="仿宋" w:eastAsia="仿宋" w:cs="仿宋"/>
          <w:sz w:val="32"/>
          <w:szCs w:val="32"/>
          <w:highlight w:val="none"/>
          <w:lang w:eastAsia="zh-CN" w:bidi="ar"/>
        </w:rPr>
        <w:t>，综合调</w:t>
      </w:r>
      <w:r>
        <w:rPr>
          <w:rStyle w:val="16"/>
          <w:rFonts w:hint="eastAsia" w:ascii="仿宋" w:hAnsi="仿宋" w:eastAsia="仿宋" w:cs="仿宋"/>
          <w:sz w:val="32"/>
          <w:szCs w:val="32"/>
          <w:highlight w:val="none"/>
          <w:lang w:val="en-US" w:eastAsia="zh-CN" w:bidi="ar"/>
        </w:rPr>
        <w:t>增</w:t>
      </w:r>
      <w:r>
        <w:rPr>
          <w:rFonts w:hint="eastAsia" w:ascii="仿宋" w:hAnsi="仿宋" w:eastAsia="仿宋" w:cs="仿宋"/>
          <w:sz w:val="32"/>
          <w:szCs w:val="32"/>
          <w:highlight w:val="none"/>
          <w:lang w:val="en-US" w:eastAsia="zh-CN"/>
        </w:rPr>
        <w:t>843.98万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Style w:val="16"/>
          <w:rFonts w:hint="eastAsia" w:ascii="仿宋" w:hAnsi="仿宋" w:eastAsia="仿宋" w:cs="仿宋"/>
          <w:sz w:val="32"/>
          <w:szCs w:val="32"/>
          <w:highlight w:val="none"/>
          <w:lang w:eastAsia="zh-CN" w:bidi="ar"/>
        </w:rPr>
        <w:t>本年度调剂后部门预算资金总额</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w:t>
      </w:r>
      <w:r>
        <w:rPr>
          <w:rStyle w:val="16"/>
          <w:rFonts w:hint="eastAsia" w:ascii="仿宋" w:hAnsi="仿宋" w:eastAsia="仿宋" w:cs="仿宋"/>
          <w:sz w:val="32"/>
          <w:szCs w:val="32"/>
          <w:highlight w:val="none"/>
          <w:lang w:eastAsia="zh-CN" w:bidi="ar"/>
        </w:rPr>
        <w:t>元。绩效目标与预算资金相匹配，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14:paraId="6BBCF330">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14:paraId="6FDFFAC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14:paraId="37CB02D3">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Style w:val="15"/>
          <w:rFonts w:hint="eastAsia" w:ascii="仿宋" w:hAnsi="仿宋" w:eastAsia="仿宋" w:cs="仿宋"/>
          <w:color w:val="000000"/>
          <w:sz w:val="32"/>
          <w:szCs w:val="32"/>
          <w:lang w:val="en-US" w:eastAsia="zh-CN" w:bidi="ar"/>
        </w:rPr>
        <w:t>2023年在职人员65人，核定编制53名，在职人员控制率为122.64%。本项满分3分，扣3分，实际得分0分。</w:t>
      </w:r>
    </w:p>
    <w:p w14:paraId="6CCE5D6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14:paraId="03DAF84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Style w:val="14"/>
          <w:rFonts w:hint="eastAsia" w:ascii="仿宋" w:hAnsi="仿宋" w:eastAsia="仿宋" w:cs="仿宋"/>
          <w:color w:val="000000"/>
          <w:sz w:val="32"/>
          <w:szCs w:val="32"/>
          <w:lang w:val="en-US" w:eastAsia="zh-CN" w:bidi="ar"/>
        </w:rPr>
        <w:t>2023年三公经费预算数为32.24万元，2022年三公经费预算数为58.13万元，三公经费变动率为-44.54%,本项满分3分，实际得分3分。</w:t>
      </w:r>
    </w:p>
    <w:p w14:paraId="0E68FDF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14:paraId="68602C8C">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10.00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21</w:t>
      </w:r>
      <w:r>
        <w:rPr>
          <w:rStyle w:val="16"/>
          <w:rFonts w:hint="eastAsia" w:ascii="仿宋" w:hAnsi="仿宋" w:eastAsia="仿宋" w:cs="仿宋"/>
          <w:sz w:val="32"/>
          <w:szCs w:val="32"/>
          <w:highlight w:val="none"/>
          <w:lang w:bidi="ar"/>
        </w:rPr>
        <w:t>个，合计</w:t>
      </w:r>
      <w:r>
        <w:rPr>
          <w:rStyle w:val="16"/>
          <w:rFonts w:hint="eastAsia" w:ascii="仿宋" w:hAnsi="仿宋" w:eastAsia="仿宋" w:cs="仿宋"/>
          <w:sz w:val="32"/>
          <w:szCs w:val="32"/>
          <w:highlight w:val="none"/>
          <w:lang w:val="en-US" w:eastAsia="zh-CN" w:bidi="ar"/>
        </w:rPr>
        <w:t>支出</w:t>
      </w:r>
      <w:r>
        <w:rPr>
          <w:rStyle w:val="16"/>
          <w:rFonts w:hint="eastAsia" w:ascii="仿宋" w:hAnsi="仿宋" w:eastAsia="仿宋" w:cs="仿宋"/>
          <w:sz w:val="32"/>
          <w:szCs w:val="32"/>
          <w:highlight w:val="none"/>
          <w:lang w:bidi="ar"/>
        </w:rPr>
        <w:t>金额为</w:t>
      </w:r>
      <w:r>
        <w:rPr>
          <w:rStyle w:val="16"/>
          <w:rFonts w:hint="eastAsia" w:ascii="仿宋" w:hAnsi="仿宋" w:eastAsia="仿宋" w:cs="仿宋"/>
          <w:sz w:val="32"/>
          <w:szCs w:val="32"/>
          <w:highlight w:val="none"/>
          <w:lang w:val="en-US" w:eastAsia="zh-CN" w:bidi="ar"/>
        </w:rPr>
        <w:t>8,383.29</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8,442.04</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99.30</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14:paraId="4885B9EC">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1" w:name="_Toc20799"/>
      <w:r>
        <w:rPr>
          <w:rFonts w:hint="eastAsia" w:ascii="仿宋" w:hAnsi="仿宋" w:eastAsia="仿宋" w:cs="仿宋"/>
          <w:b/>
          <w:bCs/>
          <w:sz w:val="32"/>
          <w:szCs w:val="32"/>
          <w:highlight w:val="none"/>
          <w:lang w:bidi="ar"/>
        </w:rPr>
        <w:t>（二）项目过程情况</w:t>
      </w:r>
      <w:bookmarkEnd w:id="21"/>
    </w:p>
    <w:p w14:paraId="4F21AD9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47</w:t>
      </w:r>
      <w:r>
        <w:rPr>
          <w:rFonts w:hint="eastAsia" w:ascii="仿宋" w:hAnsi="仿宋" w:eastAsia="仿宋" w:cs="仿宋"/>
          <w:kern w:val="2"/>
          <w:sz w:val="32"/>
          <w:szCs w:val="32"/>
          <w:highlight w:val="none"/>
          <w:lang w:bidi="ar"/>
        </w:rPr>
        <w:t>分。</w:t>
      </w:r>
    </w:p>
    <w:p w14:paraId="5DD96D74">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14:paraId="6A4A3EF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noWrap/>
            <w:vAlign w:val="center"/>
          </w:tcPr>
          <w:p w14:paraId="0001CB9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3C88EF1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noWrap/>
            <w:vAlign w:val="center"/>
          </w:tcPr>
          <w:p w14:paraId="71BD460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noWrap/>
            <w:vAlign w:val="center"/>
          </w:tcPr>
          <w:p w14:paraId="4CEE6C2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noWrap/>
            <w:vAlign w:val="center"/>
          </w:tcPr>
          <w:p w14:paraId="0A18C83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noWrap/>
            <w:vAlign w:val="center"/>
          </w:tcPr>
          <w:p w14:paraId="6DF2F471">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5FA4CAD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noWrap/>
            <w:vAlign w:val="center"/>
          </w:tcPr>
          <w:p w14:paraId="006D34B5">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2BEF5843">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noWrap w:val="0"/>
            <w:vAlign w:val="center"/>
          </w:tcPr>
          <w:p w14:paraId="65E654A1">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14:paraId="161F0785">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221FEAE4">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128F6A08">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noWrap/>
            <w:vAlign w:val="center"/>
          </w:tcPr>
          <w:p w14:paraId="4F493993">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11</w:t>
            </w:r>
          </w:p>
        </w:tc>
      </w:tr>
      <w:tr w14:paraId="6BD3D8D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0A4F7D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E133A1F">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430371C4">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6801A5A8">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76E39C73">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16D2C74C">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r>
      <w:tr w14:paraId="5E4D583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3E4A9E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BA21685">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36443B03">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7F031CE7">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3038DBBE">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noWrap/>
            <w:vAlign w:val="center"/>
          </w:tcPr>
          <w:p w14:paraId="28003958">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w:t>
            </w:r>
          </w:p>
        </w:tc>
      </w:tr>
      <w:tr w14:paraId="03A1343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7F5FF2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0FBDAAA">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08EA0F7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0568BE55">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5FFE5C96">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noWrap/>
            <w:vAlign w:val="center"/>
          </w:tcPr>
          <w:p w14:paraId="0B4C6179">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p>
        </w:tc>
      </w:tr>
      <w:tr w14:paraId="7E94877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64BFA2E5">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850E6AF">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09B09EB0">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FEC8DF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084BAD5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BA14154">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6D5103B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F0B19D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34F2209">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49EFE6E8">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6DEFF16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027E87D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1F79EB91">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w:t>
            </w:r>
          </w:p>
        </w:tc>
      </w:tr>
      <w:tr w14:paraId="246F35C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63EA32A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599452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1141240E">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0A747F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5890A9E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00CC6FAA">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1271571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CDD8158">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9AFE474">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214E5A3F">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416230E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19954E45">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596F45B8">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302D3CB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1A88B7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766C73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69EB1A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BFBB8E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14233CD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588F531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45B3FB9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41B1049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C4FE923">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123308C">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6747DB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57078E7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7A25CCB1">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24F04EE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22A3B6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2D83450">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2153EE96">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762699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48136D4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31AA68D8">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0023050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F736C72">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B63AFAE">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676B210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29ED420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2F83D73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265381C9">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r>
      <w:tr w14:paraId="6322CC9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76C96F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3E97EAE">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40BF42A">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51A1E1C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7B13D5F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35980CC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17D605A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C728F9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2B817D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3E8D0918">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72A8D89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6C6C04A0">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5E3189F">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456E572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8BF84A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0CB2B0B">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noWrap/>
            <w:vAlign w:val="center"/>
          </w:tcPr>
          <w:p w14:paraId="01C7538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noWrap/>
            <w:vAlign w:val="center"/>
          </w:tcPr>
          <w:p w14:paraId="719F11CC">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noWrap/>
            <w:vAlign w:val="center"/>
          </w:tcPr>
          <w:p w14:paraId="5D9352F8">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47</w:t>
            </w:r>
          </w:p>
        </w:tc>
      </w:tr>
    </w:tbl>
    <w:p w14:paraId="7898A18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14:paraId="42ABB76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14:paraId="716E7B1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w:t>
      </w:r>
      <w:r>
        <w:rPr>
          <w:rStyle w:val="16"/>
          <w:rFonts w:hint="eastAsia" w:ascii="仿宋" w:hAnsi="仿宋" w:eastAsia="仿宋" w:cs="仿宋"/>
          <w:sz w:val="32"/>
          <w:szCs w:val="32"/>
          <w:highlight w:val="none"/>
          <w:lang w:val="en-US" w:eastAsia="zh-CN" w:bidi="ar"/>
        </w:rPr>
        <w:t>万</w:t>
      </w:r>
      <w:r>
        <w:rPr>
          <w:rFonts w:hint="eastAsia" w:ascii="仿宋" w:hAnsi="仿宋" w:eastAsia="仿宋" w:cs="仿宋"/>
          <w:sz w:val="32"/>
          <w:szCs w:val="32"/>
          <w:highlight w:val="none"/>
          <w:lang w:val="en-US" w:eastAsia="zh-CN"/>
        </w:rPr>
        <w:t>元，</w:t>
      </w:r>
      <w:bookmarkStart w:id="22" w:name="OLE_LINK1"/>
      <w:r>
        <w:rPr>
          <w:rFonts w:hint="eastAsia" w:ascii="仿宋" w:hAnsi="仿宋" w:eastAsia="仿宋" w:cs="仿宋"/>
          <w:b w:val="0"/>
          <w:bCs/>
          <w:color w:val="auto"/>
          <w:kern w:val="2"/>
          <w:sz w:val="32"/>
          <w:szCs w:val="32"/>
          <w:highlight w:val="none"/>
          <w:lang w:val="en-US" w:eastAsia="zh-CN" w:bidi="ar"/>
        </w:rPr>
        <w:t>预算完成率为100.00%</w:t>
      </w:r>
      <w:bookmarkEnd w:id="22"/>
      <w:r>
        <w:rPr>
          <w:rFonts w:hint="eastAsia" w:ascii="仿宋" w:hAnsi="仿宋" w:eastAsia="仿宋" w:cs="仿宋"/>
          <w:b w:val="0"/>
          <w:bCs/>
          <w:color w:val="auto"/>
          <w:kern w:val="2"/>
          <w:sz w:val="32"/>
          <w:szCs w:val="32"/>
          <w:highlight w:val="none"/>
          <w:lang w:val="en-US" w:eastAsia="zh-CN" w:bidi="ar"/>
        </w:rPr>
        <w:t>。本项满分11分，实际得分11分。</w:t>
      </w:r>
    </w:p>
    <w:p w14:paraId="03B97C64">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14:paraId="072DE8C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r>
        <w:rPr>
          <w:rFonts w:hint="eastAsia" w:ascii="仿宋" w:hAnsi="仿宋" w:eastAsia="仿宋" w:cs="仿宋"/>
          <w:kern w:val="2"/>
          <w:sz w:val="32"/>
          <w:szCs w:val="32"/>
          <w:highlight w:val="none"/>
          <w:lang w:val="en-US" w:eastAsia="zh-CN"/>
        </w:rPr>
        <w:t>年初</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lang w:val="en-US" w:eastAsia="zh-CN"/>
        </w:rPr>
        <w:t>10,986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61万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843.98万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Fonts w:hint="eastAsia" w:ascii="仿宋" w:hAnsi="仿宋" w:eastAsia="仿宋" w:cs="仿宋"/>
          <w:sz w:val="32"/>
          <w:szCs w:val="32"/>
          <w:highlight w:val="none"/>
          <w:lang w:val="en-US" w:eastAsia="zh-CN"/>
        </w:rPr>
        <w:t>11,830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59万元。预算调整率为7.13%，本项满分2分，扣1分，实际得分1分。</w:t>
      </w:r>
    </w:p>
    <w:p w14:paraId="263E372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14:paraId="7C09075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结转结余数为0.00万元，</w:t>
      </w:r>
      <w:bookmarkStart w:id="23" w:name="OLE_LINK2"/>
      <w:r>
        <w:rPr>
          <w:rFonts w:hint="eastAsia" w:ascii="仿宋" w:hAnsi="仿宋" w:eastAsia="仿宋" w:cs="仿宋"/>
          <w:b w:val="0"/>
          <w:bCs/>
          <w:color w:val="auto"/>
          <w:kern w:val="2"/>
          <w:sz w:val="32"/>
          <w:szCs w:val="32"/>
          <w:highlight w:val="none"/>
          <w:lang w:val="en-US" w:eastAsia="zh-CN" w:bidi="ar"/>
        </w:rPr>
        <w:t>结转结余率</w:t>
      </w:r>
      <w:bookmarkEnd w:id="23"/>
      <w:r>
        <w:rPr>
          <w:rFonts w:hint="eastAsia" w:ascii="仿宋" w:hAnsi="仿宋" w:eastAsia="仿宋" w:cs="仿宋"/>
          <w:b w:val="0"/>
          <w:bCs/>
          <w:color w:val="auto"/>
          <w:kern w:val="2"/>
          <w:sz w:val="32"/>
          <w:szCs w:val="32"/>
          <w:highlight w:val="none"/>
          <w:lang w:val="en-US" w:eastAsia="zh-CN" w:bidi="ar"/>
        </w:rPr>
        <w:t>0。本项满分6分，实际得分6分。</w:t>
      </w:r>
    </w:p>
    <w:p w14:paraId="77B67BD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14:paraId="4348634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结转结余数为0.00万元，2022年结转结余数为3.95万元，结转结余变动率为0。本项满分1分，实际得分1分。</w:t>
      </w:r>
    </w:p>
    <w:p w14:paraId="067F012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14:paraId="3B9B853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color w:val="auto"/>
          <w:kern w:val="2"/>
          <w:sz w:val="32"/>
          <w:szCs w:val="32"/>
          <w:highlight w:val="none"/>
          <w:lang w:val="en-US" w:eastAsia="zh-CN" w:bidi="ar"/>
        </w:rPr>
        <w:t>2023年实际支出公用经费总额为114.02万元，2023年公用经费全年预算总额为114.02万元，公用经费控制率为100.00%。本项满分2分，实际得分2分。</w:t>
      </w:r>
    </w:p>
    <w:p w14:paraId="6B9F79DA">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14:paraId="6A9EDF7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color w:val="000000"/>
          <w:kern w:val="2"/>
          <w:sz w:val="32"/>
          <w:szCs w:val="32"/>
          <w:lang w:val="en-US" w:eastAsia="zh-CN" w:bidi="ar"/>
        </w:rPr>
        <w:t>2023年“三公经费”实际支出数为</w:t>
      </w:r>
      <w:r>
        <w:rPr>
          <w:rStyle w:val="14"/>
          <w:rFonts w:hint="eastAsia" w:ascii="仿宋" w:hAnsi="仿宋" w:eastAsia="仿宋" w:cs="仿宋"/>
          <w:color w:val="000000"/>
          <w:sz w:val="32"/>
          <w:szCs w:val="32"/>
          <w:lang w:val="en-US" w:eastAsia="zh-CN" w:bidi="ar"/>
        </w:rPr>
        <w:t>32.24</w:t>
      </w:r>
      <w:r>
        <w:rPr>
          <w:rFonts w:hint="eastAsia" w:ascii="仿宋" w:hAnsi="仿宋" w:eastAsia="仿宋" w:cs="仿宋"/>
          <w:color w:val="000000"/>
          <w:kern w:val="2"/>
          <w:sz w:val="32"/>
          <w:szCs w:val="32"/>
          <w:lang w:val="en-US" w:eastAsia="zh-CN" w:bidi="ar"/>
        </w:rPr>
        <w:t>万元，2023年“三公经费”预算安排数为</w:t>
      </w:r>
      <w:r>
        <w:rPr>
          <w:rStyle w:val="14"/>
          <w:rFonts w:hint="eastAsia" w:ascii="仿宋" w:hAnsi="仿宋" w:eastAsia="仿宋" w:cs="仿宋"/>
          <w:color w:val="000000"/>
          <w:sz w:val="32"/>
          <w:szCs w:val="32"/>
          <w:lang w:val="en-US" w:eastAsia="zh-CN" w:bidi="ar"/>
        </w:rPr>
        <w:t>32.24</w:t>
      </w:r>
      <w:r>
        <w:rPr>
          <w:rFonts w:hint="eastAsia" w:ascii="仿宋" w:hAnsi="仿宋" w:eastAsia="仿宋" w:cs="仿宋"/>
          <w:color w:val="000000"/>
          <w:kern w:val="2"/>
          <w:sz w:val="32"/>
          <w:szCs w:val="32"/>
          <w:lang w:val="en-US" w:eastAsia="zh-CN" w:bidi="ar"/>
        </w:rPr>
        <w:t>万元，“三公经费”控制率为100.00%。本项满分2分，扣1分，实际得分1分。</w:t>
      </w:r>
    </w:p>
    <w:p w14:paraId="0235772C">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14:paraId="26DBE06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无政府采购项目，</w:t>
      </w:r>
      <w:r>
        <w:rPr>
          <w:rFonts w:hint="eastAsia" w:ascii="仿宋" w:hAnsi="仿宋" w:eastAsia="仿宋" w:cs="仿宋"/>
          <w:b w:val="0"/>
          <w:bCs/>
          <w:color w:val="auto"/>
          <w:kern w:val="2"/>
          <w:sz w:val="32"/>
          <w:szCs w:val="32"/>
          <w:highlight w:val="none"/>
          <w:lang w:val="en-US" w:eastAsia="zh-CN" w:bidi="ar"/>
        </w:rPr>
        <w:t>政府采购执行率为0。本项满分3分，实际得分3分。</w:t>
      </w:r>
    </w:p>
    <w:p w14:paraId="34A229E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14:paraId="1475636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14:paraId="47270782">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kern w:val="2"/>
          <w:sz w:val="32"/>
          <w:szCs w:val="32"/>
          <w:lang w:val="en-US" w:eastAsia="zh-CN" w:bidi="ar"/>
        </w:rPr>
        <w:t>制定了</w:t>
      </w:r>
      <w:r>
        <w:rPr>
          <w:rFonts w:hint="eastAsia" w:ascii="仿宋" w:hAnsi="仿宋" w:eastAsia="仿宋" w:cs="仿宋"/>
          <w:color w:val="000000"/>
          <w:kern w:val="0"/>
          <w:sz w:val="32"/>
          <w:szCs w:val="32"/>
          <w:lang w:val="en-US" w:eastAsia="zh-CN" w:bidi="ar"/>
        </w:rPr>
        <w:t>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14:paraId="3F3A5C5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14:paraId="3B9FF221">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14:paraId="064F4CE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14:paraId="1A07EB9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1B08BC8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14:paraId="5A309351">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70ACA15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14:paraId="673FB26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14:paraId="7B2AB41C">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w:t>
      </w:r>
      <w:r>
        <w:rPr>
          <w:rFonts w:hint="eastAsia" w:ascii="仿宋" w:hAnsi="仿宋" w:eastAsia="仿宋" w:cs="仿宋"/>
          <w:color w:val="000000"/>
          <w:kern w:val="2"/>
          <w:sz w:val="32"/>
          <w:szCs w:val="32"/>
          <w:lang w:val="en-US" w:eastAsia="zh-CN" w:bidi="ar"/>
        </w:rPr>
        <w:t>本项满分3分，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w:t>
      </w:r>
      <w:r>
        <w:rPr>
          <w:rFonts w:hint="eastAsia" w:ascii="仿宋" w:hAnsi="仿宋" w:eastAsia="仿宋" w:cs="仿宋"/>
          <w:sz w:val="32"/>
          <w:szCs w:val="32"/>
          <w:highlight w:val="none"/>
        </w:rPr>
        <w:t>分。</w:t>
      </w:r>
    </w:p>
    <w:p w14:paraId="3A76BABD">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14:paraId="42F175A4">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14:paraId="4568ADD9">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14:paraId="0FC435F1">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固定资产总额为</w:t>
      </w:r>
      <w:r>
        <w:rPr>
          <w:rFonts w:hint="eastAsia" w:ascii="仿宋" w:hAnsi="仿宋" w:eastAsia="仿宋" w:cs="仿宋"/>
          <w:sz w:val="32"/>
          <w:szCs w:val="32"/>
          <w:highlight w:val="none"/>
          <w:lang w:val="en-US" w:eastAsia="zh-CN"/>
        </w:rPr>
        <w:t>6,415.98万</w:t>
      </w:r>
      <w:r>
        <w:rPr>
          <w:rFonts w:hint="eastAsia" w:ascii="仿宋" w:hAnsi="仿宋" w:eastAsia="仿宋" w:cs="仿宋"/>
          <w:sz w:val="32"/>
          <w:szCs w:val="32"/>
          <w:highlight w:val="none"/>
        </w:rPr>
        <w:t>元，实际在用固定资产总额</w:t>
      </w:r>
      <w:r>
        <w:rPr>
          <w:rFonts w:hint="eastAsia" w:ascii="仿宋" w:hAnsi="仿宋" w:eastAsia="仿宋" w:cs="仿宋"/>
          <w:sz w:val="32"/>
          <w:szCs w:val="32"/>
          <w:highlight w:val="none"/>
          <w:lang w:val="en-US" w:eastAsia="zh-CN"/>
        </w:rPr>
        <w:t>6,415.98万</w:t>
      </w:r>
      <w:r>
        <w:rPr>
          <w:rFonts w:hint="eastAsia" w:ascii="仿宋" w:hAnsi="仿宋" w:eastAsia="仿宋" w:cs="仿宋"/>
          <w:sz w:val="32"/>
          <w:szCs w:val="32"/>
          <w:highlight w:val="none"/>
        </w:rPr>
        <w:t>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14:paraId="2552B1B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4" w:name="_Toc1470"/>
      <w:r>
        <w:rPr>
          <w:rFonts w:hint="eastAsia" w:ascii="仿宋" w:hAnsi="仿宋" w:eastAsia="仿宋" w:cs="仿宋"/>
          <w:b/>
          <w:bCs/>
          <w:sz w:val="32"/>
          <w:szCs w:val="32"/>
          <w:highlight w:val="none"/>
          <w:lang w:bidi="ar"/>
        </w:rPr>
        <w:t>（三）项目产出情况</w:t>
      </w:r>
      <w:bookmarkEnd w:id="24"/>
    </w:p>
    <w:p w14:paraId="75DF9F61">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分。</w:t>
      </w:r>
    </w:p>
    <w:p w14:paraId="6F0B878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14:paraId="3E38BCC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57AD598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637AE58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noWrap/>
            <w:vAlign w:val="center"/>
          </w:tcPr>
          <w:p w14:paraId="60DB5A9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noWrap/>
            <w:vAlign w:val="center"/>
          </w:tcPr>
          <w:p w14:paraId="24CC8B91">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60FC6F9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0E60CB2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46FAA60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1FE99E5F">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noWrap/>
            <w:vAlign w:val="center"/>
          </w:tcPr>
          <w:p w14:paraId="7938CC33">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noWrap w:val="0"/>
            <w:vAlign w:val="center"/>
          </w:tcPr>
          <w:p w14:paraId="416E56F8">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14:paraId="4A7835D6">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0"/>
            <w:vAlign w:val="center"/>
          </w:tcPr>
          <w:p w14:paraId="7826C30D">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noWrap w:val="0"/>
            <w:vAlign w:val="center"/>
          </w:tcPr>
          <w:p w14:paraId="1463B2CE">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0167EDD">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5D24086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2F26935">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636FDC6F">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449DA422">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2BE6FCF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73C2F0E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7D129E2F">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1EF3266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DA345C0">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75CED300">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202FE985">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49D3BB2F">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33AF7AA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593620C">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2A77A83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97D06D3">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5BD7BF90">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49A35881">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0409BB1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699CE30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50C71502">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1F8C477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noWrap/>
            <w:vAlign w:val="center"/>
          </w:tcPr>
          <w:p w14:paraId="61D7EEA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3A52B32B">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noWrap/>
            <w:vAlign w:val="center"/>
          </w:tcPr>
          <w:p w14:paraId="2794D141">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16</w:t>
            </w:r>
          </w:p>
        </w:tc>
      </w:tr>
    </w:tbl>
    <w:p w14:paraId="36A75DA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14:paraId="55FF53D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14:paraId="12A225D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6C999E5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14:paraId="03F70B17">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3E8BB76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14:paraId="502F26F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6DC7FEF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14:paraId="124C7EFA">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10.00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12月31日，21个重点项目均已完成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分4</w:t>
      </w:r>
      <w:r>
        <w:rPr>
          <w:rFonts w:hint="eastAsia" w:ascii="仿宋" w:hAnsi="仿宋" w:eastAsia="仿宋" w:cs="仿宋"/>
          <w:sz w:val="32"/>
          <w:szCs w:val="32"/>
          <w:highlight w:val="none"/>
        </w:rPr>
        <w:t>分。</w:t>
      </w:r>
    </w:p>
    <w:p w14:paraId="707B7DB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5" w:name="_Toc15693"/>
      <w:r>
        <w:rPr>
          <w:rFonts w:hint="eastAsia" w:ascii="仿宋" w:hAnsi="仿宋" w:eastAsia="仿宋" w:cs="仿宋"/>
          <w:b/>
          <w:bCs/>
          <w:sz w:val="32"/>
          <w:szCs w:val="32"/>
          <w:highlight w:val="none"/>
          <w:lang w:bidi="ar"/>
        </w:rPr>
        <w:t>（四）部门效益情况</w:t>
      </w:r>
      <w:bookmarkEnd w:id="25"/>
    </w:p>
    <w:p w14:paraId="1B42958F">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15.93</w:t>
      </w:r>
      <w:r>
        <w:rPr>
          <w:rFonts w:hint="eastAsia" w:ascii="仿宋" w:hAnsi="仿宋" w:eastAsia="仿宋" w:cs="仿宋"/>
          <w:sz w:val="32"/>
          <w:szCs w:val="32"/>
          <w:highlight w:val="none"/>
        </w:rPr>
        <w:t>分。</w:t>
      </w:r>
    </w:p>
    <w:p w14:paraId="2865E4E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14:paraId="1EB0E88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noWrap/>
            <w:vAlign w:val="center"/>
          </w:tcPr>
          <w:p w14:paraId="01D83254">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6A97B1E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noWrap/>
            <w:vAlign w:val="center"/>
          </w:tcPr>
          <w:p w14:paraId="7A4D5C44">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noWrap/>
            <w:vAlign w:val="center"/>
          </w:tcPr>
          <w:p w14:paraId="1DC7125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3A7FF75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7E05210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6A0D636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noWrap/>
            <w:vAlign w:val="center"/>
          </w:tcPr>
          <w:p w14:paraId="1DDFF60B">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noWrap/>
            <w:vAlign w:val="center"/>
          </w:tcPr>
          <w:p w14:paraId="13F32B93">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noWrap w:val="0"/>
            <w:vAlign w:val="center"/>
          </w:tcPr>
          <w:p w14:paraId="4D0AF829">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5744052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noWrap/>
            <w:vAlign w:val="center"/>
          </w:tcPr>
          <w:p w14:paraId="1069E723">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noWrap/>
            <w:vAlign w:val="center"/>
          </w:tcPr>
          <w:p w14:paraId="7F0B9F53">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14:paraId="20328C3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962E4BB">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76A5102F">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4B9B83B5">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3DAD601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noWrap/>
            <w:vAlign w:val="center"/>
          </w:tcPr>
          <w:p w14:paraId="0B516F02">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noWrap/>
            <w:vAlign w:val="center"/>
          </w:tcPr>
          <w:p w14:paraId="193A3869">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14:paraId="718CF28C">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0609759">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4C29ED0E">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29640482">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01E0A82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noWrap/>
            <w:vAlign w:val="center"/>
          </w:tcPr>
          <w:p w14:paraId="174BCBD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noWrap/>
            <w:vAlign w:val="center"/>
          </w:tcPr>
          <w:p w14:paraId="27F73642">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4.93</w:t>
            </w:r>
          </w:p>
        </w:tc>
      </w:tr>
      <w:tr w14:paraId="174EBA3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noWrap/>
            <w:vAlign w:val="center"/>
          </w:tcPr>
          <w:p w14:paraId="1FF47476">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64E77D30">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noWrap/>
            <w:vAlign w:val="center"/>
          </w:tcPr>
          <w:p w14:paraId="780FA3FC">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15.93</w:t>
            </w:r>
          </w:p>
        </w:tc>
      </w:tr>
    </w:tbl>
    <w:p w14:paraId="518FA61A">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14:paraId="0D2E7D03">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lang w:bidi="ar"/>
        </w:rPr>
        <w:t>履行部门相关职责，</w:t>
      </w:r>
      <w:r>
        <w:rPr>
          <w:rFonts w:hint="eastAsia" w:ascii="仿宋" w:hAnsi="仿宋" w:eastAsia="仿宋" w:cs="仿宋"/>
          <w:sz w:val="32"/>
          <w:szCs w:val="32"/>
          <w:highlight w:val="none"/>
          <w:lang w:eastAsia="zh-CN" w:bidi="ar"/>
        </w:rPr>
        <w:t>始终把“六稳”和“六保”之首的使命责任扛在肩上，聚力稳岗位、促就业。全市实现城镇新增就业4535人，完成目标任务的100.78%；全市2716名应届高校毕业生已就业2664名，就业率为98.09%，其中区外就业率为12.7%；全市实现农牧民转移就业4万人、劳务收入4.1亿元,分别完成年度目标任务的 105.3%、120.6%。落实政策稳就业。制发《林芝市就业创业扶持基金使用管理实施细则》，进一步强化对高校毕业生、农牧民等重点群体就业创业政策扶持。将高校毕业生就业创业补贴审核权限下放至县(市、区)一级，累计兑现高校毕业生就业创业补贴3937.29万元。对2019年以后创业的符合政策的1018名农牧民创业者兑现一次性创业补贴资金203.6万元。优化服务扩就业。通过“线上、线下”等方式，成功举办各类招聘活动48场次，817家企业提供16209个就业岗位,累计进场5203人、达成就业意向1351人。累计开发就业岗位5515个，完成目标任务的100.3%；开展职业指导2566人，职业介绍2313人次，职业介绍成功1703人，完成目标任务的 100.2%。与广东东莞、珠海等7地签订劳务协作协议，在广州、中山等8地设立劳务协作服务站，与四川省人社厅及雅安市人社局签订人力资源协同发展合作协议，全市区外劳务协议及劳务协作服务站(联络站)实现全覆盖。今年全市组织化转移就业27803人，占转移就业总人数的69.5%。各类政府投资项目吸纳本地农牧民16030人，占总用工人数的67.8%，实现劳务收入15199.84万元，其中400万元以下项目吸纳本地农牧民4652人，占总用工人数的82.9%，实现劳务收入 2527.4万元。推送52名高校毕业生“组团式”赴粤市场就业。对接2023年广东省高校毕业生“三支一扶”计划定向招募9名西藏高校毕业生在粤实现就业。对接广东省事业单位专项招录西藏籍少数民族高校毕业生岗位50个，并有序开展招聘工作。出版发行《青春绽放-西藏籍高校毕业生在粤就业纪实》，挖掘宣传54名在粤就业典型，教育引导高校毕业生转变就业观念。坚持以人民为中心，加大工作统筹力度，着力打造最美“林芝社保人”品牌。聚焦参保精准扩面。各类养老保险、工伤保险、失业保险参保人数均超额完成年度目标任务。其中，全市企业职工、机关事业单位、城乡居民基本养老保险参保人数分别达19596人、18184人、75270人，分别完成目标任务的102.82%、102.08%、100.1%；失业保险和工伤保险参保人数分别达24382人、65308人，分别完成目标任务的102.9%、161.34%</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sz w:val="32"/>
          <w:szCs w:val="32"/>
          <w:highlight w:val="none"/>
          <w:shd w:val="clear" w:color="auto" w:fill="auto"/>
          <w:lang w:val="en-US" w:eastAsia="zh-CN" w:bidi="ar"/>
        </w:rPr>
        <w:t>社会效益较显著。本项</w:t>
      </w:r>
      <w:r>
        <w:rPr>
          <w:rFonts w:hint="eastAsia" w:ascii="仿宋" w:hAnsi="仿宋" w:eastAsia="仿宋" w:cs="仿宋"/>
          <w:sz w:val="32"/>
          <w:szCs w:val="32"/>
          <w:highlight w:val="none"/>
          <w:lang w:val="en-US" w:eastAsia="zh-CN" w:bidi="ar"/>
        </w:rPr>
        <w:t>满分8分，扣2分，实际得分6分。</w:t>
      </w:r>
    </w:p>
    <w:p w14:paraId="0111839B">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14:paraId="37641C73">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eastAsia="zh-CN" w:bidi="ar"/>
        </w:rPr>
        <w:t>全面落实区、市人才政策，为全市经济社会发展提供坚强人才支撑事业人员管理规范。顺利完成9261名在我市县(区、市)、乡镇及市直单位工作的事业单位工作人员2022年度考核工作。圆满完成2023年度全区2362名林芝市专业技术人员职称政治考试工作。初步确定我市2023年享受国务院政府特殊津贴人选1名，顺利招聘2023年度事业单位工作人员189人、部队定向生23人、非西藏生源定向生7人，现已派遣上岗。2023年退伍安置10人，驻藏部队退役士兵专项招聘事业单位人员30人。公开招聘乡镇卫生院长期聘用(含公益性技术性岗位)人员6名。完成36名林芝籍艺术专业定向委培单招单录(聘)工作。派遣农村订单定向免费医学生25人。技工教育成果丰硕。积极参加各类职业技能大赛，累计选拔推荐68名选手和裁判参加西藏自治区第一届技工(职业)院校职业技能大赛、全区第五届职业技能大赛及全国第二届职业技能大赛，均取得优异成绩，市级层面为13名获奖选手兑现奖金18万元。林芝市高级技工学校2020级208名学生已实现就业198人，就业率达95.2%；75名2021级学生在林芝各大酒店、厦门铁路局等开展跟岗实习，岗位实习比例达66.4%</w:t>
      </w:r>
      <w:r>
        <w:rPr>
          <w:rFonts w:hint="eastAsia" w:ascii="仿宋" w:hAnsi="仿宋" w:eastAsia="仿宋" w:cs="仿宋"/>
          <w:sz w:val="32"/>
          <w:szCs w:val="32"/>
          <w:highlight w:val="none"/>
          <w:lang w:val="en-US" w:eastAsia="zh-CN" w:bidi="ar"/>
        </w:rPr>
        <w:t>。</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较显著，本项满分7分，扣2分，实际得分5分。</w:t>
      </w:r>
    </w:p>
    <w:p w14:paraId="2A41A807">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14:paraId="76BFF9B3">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sz w:val="32"/>
          <w:szCs w:val="32"/>
          <w:highlight w:val="none"/>
          <w:lang w:val="en-US" w:eastAsia="zh-CN" w:bidi="ar"/>
        </w:rPr>
        <w:t>社会满意度调查问卷显示满意度为98.65%。满分5分，扣0.07分，实际得分4.93分。</w:t>
      </w:r>
    </w:p>
    <w:p w14:paraId="57BD5166">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6" w:name="_Toc20971"/>
      <w:r>
        <w:rPr>
          <w:rFonts w:hint="eastAsia" w:ascii="仿宋" w:hAnsi="仿宋" w:eastAsia="仿宋" w:cs="仿宋"/>
          <w:b/>
          <w:sz w:val="32"/>
          <w:szCs w:val="32"/>
          <w:highlight w:val="none"/>
        </w:rPr>
        <w:t>主要问题分析</w:t>
      </w:r>
      <w:bookmarkEnd w:id="26"/>
    </w:p>
    <w:p w14:paraId="6D670B2C">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7" w:name="_Toc29405"/>
      <w:r>
        <w:rPr>
          <w:rFonts w:hint="eastAsia" w:ascii="仿宋" w:hAnsi="仿宋" w:eastAsia="仿宋" w:cs="仿宋"/>
          <w:color w:val="000000"/>
          <w:kern w:val="0"/>
          <w:sz w:val="32"/>
          <w:szCs w:val="32"/>
          <w:highlight w:val="none"/>
          <w:lang w:val="en-US" w:eastAsia="zh-CN" w:bidi="ar"/>
        </w:rPr>
        <w:t>（一）人员编制方面</w:t>
      </w:r>
      <w:bookmarkEnd w:id="27"/>
    </w:p>
    <w:p w14:paraId="0E0BB7A4">
      <w:pPr>
        <w:keepNext w:val="0"/>
        <w:keepLines w:val="0"/>
        <w:pageBreakBefore w:val="0"/>
        <w:widowControl w:val="0"/>
        <w:numPr>
          <w:ilvl w:val="0"/>
          <w:numId w:val="0"/>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rPr>
        <w:t>市人社局</w:t>
      </w:r>
      <w:r>
        <w:rPr>
          <w:rFonts w:hint="eastAsia" w:ascii="仿宋" w:hAnsi="仿宋" w:eastAsia="仿宋" w:cs="仿宋"/>
          <w:b w:val="0"/>
          <w:bCs/>
          <w:color w:val="auto"/>
          <w:kern w:val="2"/>
          <w:sz w:val="32"/>
          <w:szCs w:val="32"/>
          <w:highlight w:val="none"/>
          <w:lang w:val="en-US" w:eastAsia="zh-CN" w:bidi="ar"/>
        </w:rPr>
        <w:t>人员编制人数共计53名，2023年末在职职工人数共计65人。编制存在超编现象</w:t>
      </w:r>
      <w:r>
        <w:rPr>
          <w:rFonts w:hint="eastAsia" w:ascii="仿宋" w:hAnsi="仿宋" w:eastAsia="仿宋" w:cs="仿宋"/>
          <w:color w:val="000000"/>
          <w:kern w:val="0"/>
          <w:sz w:val="32"/>
          <w:szCs w:val="32"/>
          <w:highlight w:val="none"/>
          <w:lang w:val="en-US" w:eastAsia="zh-CN" w:bidi="ar"/>
        </w:rPr>
        <w:t>。</w:t>
      </w:r>
    </w:p>
    <w:p w14:paraId="1A45C7D6">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8" w:name="_Toc405"/>
      <w:r>
        <w:rPr>
          <w:rFonts w:hint="eastAsia" w:ascii="仿宋" w:hAnsi="仿宋" w:eastAsia="仿宋" w:cs="仿宋"/>
          <w:b/>
          <w:sz w:val="32"/>
          <w:szCs w:val="32"/>
          <w:highlight w:val="none"/>
        </w:rPr>
        <w:t>相关建议</w:t>
      </w:r>
      <w:bookmarkEnd w:id="28"/>
    </w:p>
    <w:p w14:paraId="74887813">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29" w:name="_Toc5870"/>
      <w:r>
        <w:rPr>
          <w:rFonts w:hint="eastAsia" w:ascii="仿宋" w:hAnsi="仿宋" w:eastAsia="仿宋" w:cs="仿宋"/>
          <w:sz w:val="32"/>
          <w:szCs w:val="32"/>
          <w:highlight w:val="none"/>
          <w:lang w:val="en-US" w:eastAsia="zh-CN" w:bidi="ar"/>
        </w:rPr>
        <w:t>人员编制方面</w:t>
      </w:r>
      <w:bookmarkEnd w:id="29"/>
    </w:p>
    <w:p w14:paraId="08CF291A">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严格实行编内进人。机关事业单位补充人员必须在编制限额内申报用人计划，严格控制超编进人，实行编制动态调整机制。</w:t>
      </w:r>
    </w:p>
    <w:p w14:paraId="3BCB8552">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0" w:name="_Toc4049"/>
      <w:r>
        <w:rPr>
          <w:rFonts w:hint="eastAsia" w:ascii="仿宋" w:hAnsi="仿宋" w:eastAsia="仿宋" w:cs="仿宋"/>
          <w:b/>
          <w:bCs/>
          <w:sz w:val="32"/>
          <w:szCs w:val="32"/>
          <w:highlight w:val="none"/>
          <w:lang w:val="en-US" w:eastAsia="zh-CN"/>
        </w:rPr>
        <w:t>其他需要说明的问题</w:t>
      </w:r>
      <w:bookmarkEnd w:id="30"/>
    </w:p>
    <w:p w14:paraId="0F3B0240">
      <w:pPr>
        <w:pStyle w:val="9"/>
        <w:keepNext w:val="0"/>
        <w:keepLines w:val="0"/>
        <w:pageBreakBefore w:val="0"/>
        <w:numPr>
          <w:ilvl w:val="0"/>
          <w:numId w:val="4"/>
        </w:numPr>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14:paraId="694793EB">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14:paraId="19F3E1C5">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14:paraId="16AFF752">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本报告仅供林芝市财政局了解林芝</w:t>
      </w:r>
      <w:r>
        <w:rPr>
          <w:rFonts w:hint="eastAsia" w:ascii="仿宋" w:hAnsi="仿宋" w:eastAsia="仿宋" w:cs="仿宋"/>
          <w:kern w:val="2"/>
          <w:sz w:val="32"/>
          <w:szCs w:val="32"/>
          <w:lang w:val="en-US" w:eastAsia="zh-CN" w:bidi="ar"/>
        </w:rPr>
        <w:t>市人力资源和社会保障局</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14:paraId="69E60826">
      <w:pPr>
        <w:pStyle w:val="9"/>
        <w:autoSpaceDE w:val="0"/>
        <w:spacing w:line="360" w:lineRule="auto"/>
        <w:ind w:firstLine="643" w:firstLineChars="200"/>
        <w:outlineLvl w:val="0"/>
        <w:rPr>
          <w:rFonts w:hint="eastAsia" w:ascii="仿宋" w:hAnsi="仿宋" w:eastAsia="仿宋" w:cs="仿宋"/>
          <w:b/>
          <w:bCs/>
          <w:kern w:val="2"/>
          <w:sz w:val="32"/>
          <w:szCs w:val="32"/>
          <w:highlight w:val="none"/>
          <w:lang w:bidi="ar"/>
        </w:rPr>
      </w:pPr>
      <w:bookmarkStart w:id="31" w:name="_Toc16911"/>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1"/>
    </w:p>
    <w:p w14:paraId="0114618B">
      <w:pPr>
        <w:pStyle w:val="9"/>
        <w:autoSpaceDE w:val="0"/>
        <w:spacing w:line="360" w:lineRule="auto"/>
        <w:ind w:firstLine="1600" w:firstLineChars="500"/>
        <w:outlineLvl w:val="0"/>
        <w:rPr>
          <w:rFonts w:hint="eastAsia" w:ascii="仿宋" w:hAnsi="仿宋" w:eastAsia="仿宋" w:cs="仿宋"/>
          <w:color w:val="000000"/>
          <w:sz w:val="32"/>
          <w:szCs w:val="32"/>
          <w:highlight w:val="none"/>
        </w:rPr>
      </w:pPr>
    </w:p>
    <w:p w14:paraId="1B9D06A6">
      <w:pPr>
        <w:pStyle w:val="9"/>
        <w:keepNext w:val="0"/>
        <w:keepLines w:val="0"/>
        <w:pageBreakBefore w:val="0"/>
        <w:kinsoku/>
        <w:wordWrap/>
        <w:overflowPunct/>
        <w:topLinePunct w:val="0"/>
        <w:autoSpaceDE w:val="0"/>
        <w:autoSpaceDN/>
        <w:bidi w:val="0"/>
        <w:adjustRightInd/>
        <w:spacing w:line="360" w:lineRule="auto"/>
        <w:ind w:firstLine="1600" w:firstLineChars="500"/>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14:paraId="55C1FAB6">
      <w:pPr>
        <w:keepNext w:val="0"/>
        <w:keepLines w:val="0"/>
        <w:pageBreakBefore w:val="0"/>
        <w:tabs>
          <w:tab w:val="left" w:pos="5580"/>
          <w:tab w:val="left" w:pos="5760"/>
          <w:tab w:val="left" w:pos="5940"/>
        </w:tabs>
        <w:kinsoku/>
        <w:wordWrap/>
        <w:overflowPunct/>
        <w:topLinePunct w:val="0"/>
        <w:autoSpaceDN/>
        <w:bidi w:val="0"/>
        <w:adjustRightInd/>
        <w:spacing w:line="360" w:lineRule="auto"/>
        <w:textAlignment w:val="auto"/>
        <w:outlineLvl w:val="9"/>
        <w:rPr>
          <w:rFonts w:hint="eastAsia" w:ascii="仿宋" w:hAnsi="仿宋" w:eastAsia="仿宋" w:cs="仿宋"/>
          <w:color w:val="000000"/>
          <w:sz w:val="32"/>
          <w:szCs w:val="32"/>
          <w:highlight w:val="none"/>
        </w:rPr>
      </w:pPr>
    </w:p>
    <w:p w14:paraId="0613D70B">
      <w:pPr>
        <w:pStyle w:val="5"/>
        <w:keepNext w:val="0"/>
        <w:keepLines w:val="0"/>
        <w:pageBreakBefore w:val="0"/>
        <w:tabs>
          <w:tab w:val="left" w:pos="3460"/>
          <w:tab w:val="center" w:pos="4590"/>
        </w:tabs>
        <w:kinsoku/>
        <w:wordWrap/>
        <w:overflowPunct/>
        <w:topLinePunct w:val="0"/>
        <w:autoSpaceDN/>
        <w:bidi w:val="0"/>
        <w:adjustRightInd/>
        <w:spacing w:line="360" w:lineRule="auto"/>
        <w:textAlignment w:val="auto"/>
        <w:outlineLvl w:val="9"/>
        <w:rPr>
          <w:rFonts w:hint="eastAsia" w:ascii="仿宋" w:hAnsi="仿宋" w:eastAsia="仿宋" w:cs="仿宋"/>
          <w:color w:val="000000"/>
          <w:sz w:val="32"/>
          <w:szCs w:val="32"/>
          <w:highlight w:val="none"/>
        </w:rPr>
      </w:pPr>
    </w:p>
    <w:p w14:paraId="74B440CD">
      <w:pPr>
        <w:keepNext w:val="0"/>
        <w:keepLines w:val="0"/>
        <w:pageBreakBefore w:val="0"/>
        <w:kinsoku/>
        <w:wordWrap/>
        <w:overflowPunct/>
        <w:topLinePunct w:val="0"/>
        <w:autoSpaceDN/>
        <w:bidi w:val="0"/>
        <w:adjustRightInd/>
        <w:spacing w:line="360" w:lineRule="auto"/>
        <w:ind w:right="480" w:firstLine="800" w:firstLineChars="250"/>
        <w:jc w:val="center"/>
        <w:textAlignment w:val="auto"/>
        <w:outlineLvl w:val="9"/>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二○二四年</w:t>
      </w:r>
      <w:r>
        <w:rPr>
          <w:rFonts w:hint="eastAsia" w:ascii="仿宋" w:hAnsi="仿宋" w:eastAsia="仿宋" w:cs="仿宋"/>
          <w:color w:val="000000"/>
          <w:sz w:val="32"/>
          <w:szCs w:val="32"/>
          <w:highlight w:val="none"/>
          <w:lang w:val="en-US" w:eastAsia="zh-CN"/>
        </w:rPr>
        <w:t>七</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二十六</w:t>
      </w:r>
      <w:r>
        <w:rPr>
          <w:rFonts w:hint="eastAsia" w:ascii="仿宋" w:hAnsi="仿宋" w:eastAsia="仿宋" w:cs="仿宋"/>
          <w:color w:val="000000"/>
          <w:sz w:val="32"/>
          <w:szCs w:val="32"/>
          <w:highlight w:val="none"/>
        </w:rPr>
        <w:t>日</w:t>
      </w:r>
    </w:p>
    <w:p w14:paraId="12E26B65">
      <w:pPr>
        <w:rPr>
          <w:rFonts w:hint="eastAsia" w:ascii="仿宋" w:hAnsi="仿宋" w:eastAsia="仿宋" w:cs="仿宋"/>
          <w:sz w:val="32"/>
          <w:szCs w:val="32"/>
        </w:rPr>
      </w:pPr>
    </w:p>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AACD6">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A2DB">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2F9FD">
                          <w:pPr>
                            <w:jc w:val="left"/>
                            <w:rPr>
                              <w:rFonts w:hint="eastAsia" w:ascii="等线" w:hAnsi="等线" w:eastAsia="等线"/>
                              <w:b/>
                              <w:sz w:val="24"/>
                            </w:rPr>
                          </w:pPr>
                        </w:p>
                        <w:p w14:paraId="45DC445E">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3E599DA9">
                          <w:pPr>
                            <w:pStyle w:val="5"/>
                            <w:jc w:val="center"/>
                            <w:rPr>
                              <w:rFonts w:hint="eastAsia"/>
                            </w:rPr>
                          </w:pPr>
                          <w:r>
                            <w:rPr>
                              <w:rFonts w:hint="eastAsia"/>
                            </w:rPr>
                            <w:t xml:space="preserve">    </w:t>
                          </w:r>
                        </w:p>
                        <w:p w14:paraId="3A92CACD">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AOmL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2CE2F9FD">
                    <w:pPr>
                      <w:jc w:val="left"/>
                      <w:rPr>
                        <w:rFonts w:hint="eastAsia" w:ascii="等线" w:hAnsi="等线" w:eastAsia="等线"/>
                        <w:b/>
                        <w:sz w:val="24"/>
                      </w:rPr>
                    </w:pPr>
                  </w:p>
                  <w:p w14:paraId="45DC445E">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3E599DA9">
                    <w:pPr>
                      <w:pStyle w:val="5"/>
                      <w:jc w:val="center"/>
                      <w:rPr>
                        <w:rFonts w:hint="eastAsia"/>
                      </w:rPr>
                    </w:pPr>
                    <w:r>
                      <w:rPr>
                        <w:rFonts w:hint="eastAsia"/>
                      </w:rPr>
                      <w:t xml:space="preserve">    </w:t>
                    </w:r>
                  </w:p>
                  <w:p w14:paraId="3A92CACD">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2C96">
    <w:pPr>
      <w:spacing w:line="240" w:lineRule="atLeast"/>
      <w:ind w:right="210"/>
      <w:jc w:val="right"/>
      <w:rPr>
        <w:rFonts w:hint="eastAsia" w:ascii="微软雅黑" w:hAnsi="微软雅黑" w:eastAsia="微软雅黑"/>
        <w:i/>
        <w:szCs w:val="21"/>
      </w:rPr>
    </w:pPr>
  </w:p>
  <w:p w14:paraId="051E3A7D">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14:paraId="1A0E00D4">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14:paraId="5C456C2B">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9hSIjVAAAABgEAAA8AAAAAAAAAAQAgAAAAIgAAAGRycy9kb3ducmV2Lnht&#10;bFBLAQIUABQAAAAIAIdO4kD3v1ew/AEAAOwDAAAOAAAAAAAAAAEAIAAAACQBAABkcnMvZTJvRG9j&#10;LnhtbFBLBQYAAAAABgAGAFkBAACSBQ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4D119C2"/>
    <w:rsid w:val="0C9E6968"/>
    <w:rsid w:val="0D9D1DB0"/>
    <w:rsid w:val="0EF95FCD"/>
    <w:rsid w:val="0F5D3B7D"/>
    <w:rsid w:val="10C8352C"/>
    <w:rsid w:val="11067CCF"/>
    <w:rsid w:val="11DA5133"/>
    <w:rsid w:val="12807783"/>
    <w:rsid w:val="15766F09"/>
    <w:rsid w:val="1A0D715C"/>
    <w:rsid w:val="1F894DF3"/>
    <w:rsid w:val="230D2DB7"/>
    <w:rsid w:val="234E1394"/>
    <w:rsid w:val="2386634A"/>
    <w:rsid w:val="23C242E3"/>
    <w:rsid w:val="266F6BFE"/>
    <w:rsid w:val="2829181B"/>
    <w:rsid w:val="28343954"/>
    <w:rsid w:val="2A7354AC"/>
    <w:rsid w:val="315D2224"/>
    <w:rsid w:val="32101BD0"/>
    <w:rsid w:val="3824393A"/>
    <w:rsid w:val="3DFA5869"/>
    <w:rsid w:val="4115326E"/>
    <w:rsid w:val="4150681B"/>
    <w:rsid w:val="466A0A44"/>
    <w:rsid w:val="46AF1972"/>
    <w:rsid w:val="48434557"/>
    <w:rsid w:val="49D1756E"/>
    <w:rsid w:val="4A36649F"/>
    <w:rsid w:val="4D32161E"/>
    <w:rsid w:val="5012721B"/>
    <w:rsid w:val="501778F7"/>
    <w:rsid w:val="51600EAB"/>
    <w:rsid w:val="58012B18"/>
    <w:rsid w:val="665B64BB"/>
    <w:rsid w:val="67413AA2"/>
    <w:rsid w:val="689A35FC"/>
    <w:rsid w:val="68D46E40"/>
    <w:rsid w:val="6A744225"/>
    <w:rsid w:val="6C943789"/>
    <w:rsid w:val="6EA05009"/>
    <w:rsid w:val="71185AFB"/>
    <w:rsid w:val="783F302F"/>
    <w:rsid w:val="7B7E56A3"/>
    <w:rsid w:val="7F142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1"/>
    <w:qFormat/>
    <w:uiPriority w:val="0"/>
    <w:rPr>
      <w:rFonts w:hint="eastAsia" w:ascii="宋体" w:hAnsi="宋体" w:eastAsia="宋体" w:cs="宋体"/>
      <w:color w:val="000000"/>
      <w:sz w:val="20"/>
      <w:szCs w:val="20"/>
    </w:rPr>
  </w:style>
  <w:style w:type="character" w:customStyle="1" w:styleId="15">
    <w:name w:val="16"/>
    <w:basedOn w:val="11"/>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12005</Words>
  <Characters>13267</Characters>
  <Lines>0</Lines>
  <Paragraphs>0</Paragraphs>
  <TotalTime>9</TotalTime>
  <ScaleCrop>false</ScaleCrop>
  <LinksUpToDate>false</LinksUpToDate>
  <CharactersWithSpaces>13432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牛乐</cp:lastModifiedBy>
  <dcterms:modified xsi:type="dcterms:W3CDTF">2024-09-09T09:45:50Z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CD1868D94ED549D9B3A4F34164C58CFD_11</vt:lpwstr>
  </property>
</Properties>
</file>